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82B97" w14:textId="79A61496" w:rsidR="00F42A73" w:rsidRPr="00506B07" w:rsidRDefault="001928EC" w:rsidP="003A5148">
      <w:pPr>
        <w:spacing w:before="240" w:after="360" w:line="360" w:lineRule="auto"/>
        <w:jc w:val="both"/>
        <w:rPr>
          <w:rFonts w:ascii="Palatino Linotype" w:hAnsi="Palatino Linotype"/>
          <w:b/>
        </w:rPr>
      </w:pPr>
      <w:r>
        <w:rPr>
          <w:rFonts w:ascii="Palatino Linotype" w:hAnsi="Palatino Linotype"/>
          <w:b/>
        </w:rPr>
        <w:t xml:space="preserve">VOTO </w:t>
      </w:r>
      <w:r w:rsidR="00F42A73" w:rsidRPr="00506B07">
        <w:rPr>
          <w:rFonts w:ascii="Palatino Linotype" w:hAnsi="Palatino Linotype"/>
          <w:b/>
        </w:rPr>
        <w:t xml:space="preserve">PARTICULAR </w:t>
      </w:r>
      <w:r w:rsidR="005F58B1">
        <w:rPr>
          <w:rFonts w:ascii="Palatino Linotype" w:hAnsi="Palatino Linotype"/>
          <w:b/>
        </w:rPr>
        <w:t xml:space="preserve">QUE </w:t>
      </w:r>
      <w:r w:rsidR="00E7360F">
        <w:rPr>
          <w:rFonts w:ascii="Palatino Linotype" w:hAnsi="Palatino Linotype"/>
          <w:b/>
        </w:rPr>
        <w:t xml:space="preserve">FORMULA </w:t>
      </w:r>
      <w:r w:rsidR="005F58B1">
        <w:rPr>
          <w:rFonts w:ascii="Palatino Linotype" w:hAnsi="Palatino Linotype"/>
          <w:b/>
        </w:rPr>
        <w:t>EL COMISIONADO</w:t>
      </w:r>
      <w:r w:rsidR="00C55313">
        <w:rPr>
          <w:rFonts w:ascii="Palatino Linotype" w:hAnsi="Palatino Linotype"/>
          <w:b/>
        </w:rPr>
        <w:t xml:space="preserve"> JAVIER MARTÍNEZ CRUZ, </w:t>
      </w:r>
      <w:r w:rsidR="0036720F">
        <w:rPr>
          <w:rFonts w:ascii="Palatino Linotype" w:hAnsi="Palatino Linotype"/>
          <w:b/>
        </w:rPr>
        <w:t>EN RELACIÓN CON LA RESOLUCIÓ</w:t>
      </w:r>
      <w:r w:rsidR="00C55313">
        <w:rPr>
          <w:rFonts w:ascii="Palatino Linotype" w:hAnsi="Palatino Linotype"/>
          <w:b/>
        </w:rPr>
        <w:t>N DICTADA POR EL</w:t>
      </w:r>
      <w:r w:rsidR="0036720F">
        <w:rPr>
          <w:rFonts w:ascii="Palatino Linotype" w:hAnsi="Palatino Linotype"/>
          <w:b/>
        </w:rPr>
        <w:t xml:space="preserve"> PLENO DE ESTE INSTITUTO DE TRA</w:t>
      </w:r>
      <w:r w:rsidR="00C55313">
        <w:rPr>
          <w:rFonts w:ascii="Palatino Linotype" w:hAnsi="Palatino Linotype"/>
          <w:b/>
        </w:rPr>
        <w:t>N</w:t>
      </w:r>
      <w:r w:rsidR="0036720F">
        <w:rPr>
          <w:rFonts w:ascii="Palatino Linotype" w:hAnsi="Palatino Linotype"/>
          <w:b/>
        </w:rPr>
        <w:t>S</w:t>
      </w:r>
      <w:r w:rsidR="00FC21AA">
        <w:rPr>
          <w:rFonts w:ascii="Palatino Linotype" w:hAnsi="Palatino Linotype"/>
          <w:b/>
        </w:rPr>
        <w:t>PARENCIA, ACCESO A LA INFORMACIÓ</w:t>
      </w:r>
      <w:r w:rsidR="00C55313">
        <w:rPr>
          <w:rFonts w:ascii="Palatino Linotype" w:hAnsi="Palatino Linotype"/>
          <w:b/>
        </w:rPr>
        <w:t xml:space="preserve">N PÚBLICA Y PROTECCIÓN DE DATOS PERSONALES DEL ESTADO DE MÉXICO Y MUNICIPIOS, EN LA </w:t>
      </w:r>
      <w:r w:rsidR="009D3952">
        <w:rPr>
          <w:rFonts w:ascii="Palatino Linotype" w:hAnsi="Palatino Linotype"/>
          <w:b/>
        </w:rPr>
        <w:t>DÉCIMA SEXTA</w:t>
      </w:r>
      <w:r w:rsidR="00DC3BDE">
        <w:rPr>
          <w:rFonts w:ascii="Palatino Linotype" w:hAnsi="Palatino Linotype"/>
          <w:b/>
        </w:rPr>
        <w:t xml:space="preserve"> </w:t>
      </w:r>
      <w:r w:rsidR="00C55313">
        <w:rPr>
          <w:rFonts w:ascii="Palatino Linotype" w:hAnsi="Palatino Linotype"/>
          <w:b/>
        </w:rPr>
        <w:t xml:space="preserve">SESIÓN ORDINARIA DE FECHA </w:t>
      </w:r>
      <w:r w:rsidR="009D3952">
        <w:rPr>
          <w:rFonts w:ascii="Palatino Linotype" w:hAnsi="Palatino Linotype"/>
          <w:b/>
        </w:rPr>
        <w:t>DOS DE MAYO</w:t>
      </w:r>
      <w:r w:rsidR="00267C5C">
        <w:rPr>
          <w:rFonts w:ascii="Palatino Linotype" w:hAnsi="Palatino Linotype"/>
          <w:b/>
        </w:rPr>
        <w:t xml:space="preserve"> </w:t>
      </w:r>
      <w:r w:rsidR="00246378">
        <w:rPr>
          <w:rFonts w:ascii="Palatino Linotype" w:hAnsi="Palatino Linotype"/>
          <w:b/>
        </w:rPr>
        <w:t>DE DOS MIL DIECI</w:t>
      </w:r>
      <w:r w:rsidR="009D3952">
        <w:rPr>
          <w:rFonts w:ascii="Palatino Linotype" w:hAnsi="Palatino Linotype"/>
          <w:b/>
        </w:rPr>
        <w:t>NUEVE</w:t>
      </w:r>
      <w:r w:rsidR="00C55313">
        <w:rPr>
          <w:rFonts w:ascii="Palatino Linotype" w:hAnsi="Palatino Linotype"/>
          <w:b/>
        </w:rPr>
        <w:t xml:space="preserve">, EN </w:t>
      </w:r>
      <w:r w:rsidR="00DC3BDE">
        <w:rPr>
          <w:rFonts w:ascii="Palatino Linotype" w:hAnsi="Palatino Linotype"/>
          <w:b/>
        </w:rPr>
        <w:t>EL</w:t>
      </w:r>
      <w:r w:rsidR="00C55313">
        <w:rPr>
          <w:rFonts w:ascii="Palatino Linotype" w:hAnsi="Palatino Linotype"/>
          <w:b/>
        </w:rPr>
        <w:t xml:space="preserve"> RECU</w:t>
      </w:r>
      <w:r w:rsidR="00F42A73" w:rsidRPr="00506B07">
        <w:rPr>
          <w:rFonts w:ascii="Palatino Linotype" w:hAnsi="Palatino Linotype"/>
          <w:b/>
        </w:rPr>
        <w:t xml:space="preserve">RSO DE REVISIÓN </w:t>
      </w:r>
      <w:r w:rsidR="00246378">
        <w:rPr>
          <w:rFonts w:ascii="Palatino Linotype" w:hAnsi="Palatino Linotype" w:cs="Arial"/>
          <w:b/>
          <w:bCs/>
          <w:lang w:eastAsia="es-MX"/>
        </w:rPr>
        <w:t>0</w:t>
      </w:r>
      <w:r w:rsidR="009D3952">
        <w:rPr>
          <w:rFonts w:ascii="Palatino Linotype" w:hAnsi="Palatino Linotype" w:cs="Arial"/>
          <w:b/>
          <w:bCs/>
          <w:lang w:eastAsia="es-MX"/>
        </w:rPr>
        <w:t>0632</w:t>
      </w:r>
      <w:r w:rsidR="00267C5C">
        <w:rPr>
          <w:rFonts w:ascii="Palatino Linotype" w:hAnsi="Palatino Linotype" w:cs="Arial"/>
          <w:b/>
          <w:bCs/>
          <w:lang w:eastAsia="es-MX"/>
        </w:rPr>
        <w:t>/INFOEM/IP/RR/201</w:t>
      </w:r>
      <w:r w:rsidR="009D3952">
        <w:rPr>
          <w:rFonts w:ascii="Palatino Linotype" w:hAnsi="Palatino Linotype" w:cs="Arial"/>
          <w:b/>
          <w:bCs/>
          <w:lang w:eastAsia="es-MX"/>
        </w:rPr>
        <w:t>9</w:t>
      </w:r>
      <w:r w:rsidR="00DC3BDE">
        <w:rPr>
          <w:rFonts w:ascii="Palatino Linotype" w:hAnsi="Palatino Linotype" w:cs="Arial"/>
          <w:b/>
          <w:bCs/>
          <w:lang w:eastAsia="es-MX"/>
        </w:rPr>
        <w:t>.</w:t>
      </w:r>
    </w:p>
    <w:p w14:paraId="1CADB685" w14:textId="14D130A8" w:rsidR="00F6770E" w:rsidRDefault="00F42A73" w:rsidP="003A5148">
      <w:pPr>
        <w:spacing w:before="240" w:after="360" w:line="360" w:lineRule="auto"/>
        <w:jc w:val="both"/>
        <w:rPr>
          <w:rFonts w:ascii="Palatino Linotype" w:hAnsi="Palatino Linotype"/>
        </w:rPr>
      </w:pPr>
      <w:r w:rsidRPr="00506B07">
        <w:rPr>
          <w:rFonts w:ascii="Palatino Linotype" w:hAnsi="Palatino Linotype"/>
        </w:rPr>
        <w:t>Lo anterior con fundamento en</w:t>
      </w:r>
      <w:r w:rsidR="00CA1CE5">
        <w:rPr>
          <w:rFonts w:ascii="Palatino Linotype" w:hAnsi="Palatino Linotype"/>
        </w:rPr>
        <w:t xml:space="preserve"> </w:t>
      </w:r>
      <w:r w:rsidR="00834C48">
        <w:rPr>
          <w:rFonts w:ascii="Palatino Linotype" w:hAnsi="Palatino Linotype"/>
        </w:rPr>
        <w:t>el</w:t>
      </w:r>
      <w:r w:rsidR="00CA1CE5">
        <w:rPr>
          <w:rFonts w:ascii="Palatino Linotype" w:hAnsi="Palatino Linotype"/>
        </w:rPr>
        <w:t xml:space="preserve"> artículo</w:t>
      </w:r>
      <w:r w:rsidRPr="00506B07">
        <w:rPr>
          <w:rFonts w:ascii="Palatino Linotype" w:hAnsi="Palatino Linotype"/>
        </w:rPr>
        <w:t xml:space="preserve"> </w:t>
      </w:r>
      <w:r w:rsidR="00CA1CE5">
        <w:rPr>
          <w:rFonts w:ascii="Palatino Linotype" w:hAnsi="Palatino Linotype"/>
        </w:rPr>
        <w:t xml:space="preserve">14 fracciones X y XI </w:t>
      </w:r>
      <w:r w:rsidRPr="00506B07">
        <w:rPr>
          <w:rFonts w:ascii="Palatino Linotype" w:hAnsi="Palatino Linotype"/>
        </w:rPr>
        <w:t>del Reglamento del Instituto de Transparencia, Acceso a la Información Pública y Protección de Datos Personales del Estado de México.</w:t>
      </w:r>
    </w:p>
    <w:p w14:paraId="21C9F6B3" w14:textId="07B422D3" w:rsidR="009D3952" w:rsidRDefault="006232F2" w:rsidP="003A5148">
      <w:pPr>
        <w:spacing w:before="240" w:after="360" w:line="360" w:lineRule="auto"/>
        <w:jc w:val="both"/>
        <w:rPr>
          <w:rFonts w:ascii="Palatino Linotype" w:hAnsi="Palatino Linotype" w:cs="Arial"/>
          <w:bCs/>
          <w:lang w:val="es-MX"/>
        </w:rPr>
      </w:pPr>
      <w:r>
        <w:rPr>
          <w:rFonts w:ascii="Palatino Linotype" w:hAnsi="Palatino Linotype"/>
        </w:rPr>
        <w:t xml:space="preserve">En la sesión del </w:t>
      </w:r>
      <w:r w:rsidR="009D3952">
        <w:rPr>
          <w:rFonts w:ascii="Palatino Linotype" w:hAnsi="Palatino Linotype"/>
        </w:rPr>
        <w:t>dos de mayo</w:t>
      </w:r>
      <w:r>
        <w:rPr>
          <w:rFonts w:ascii="Palatino Linotype" w:hAnsi="Palatino Linotype"/>
        </w:rPr>
        <w:t xml:space="preserve"> del presente año, </w:t>
      </w:r>
      <w:r w:rsidR="0088262E">
        <w:rPr>
          <w:rFonts w:ascii="Palatino Linotype" w:hAnsi="Palatino Linotype"/>
        </w:rPr>
        <w:t xml:space="preserve">los integrantes del Pleno de este Instituto aprobaron </w:t>
      </w:r>
      <w:r w:rsidR="00790D01">
        <w:rPr>
          <w:rFonts w:ascii="Palatino Linotype" w:hAnsi="Palatino Linotype" w:cs="Arial"/>
          <w:b/>
          <w:bCs/>
        </w:rPr>
        <w:t xml:space="preserve">REVOCAR </w:t>
      </w:r>
      <w:r w:rsidR="00DC3BDE">
        <w:rPr>
          <w:rFonts w:ascii="Palatino Linotype" w:hAnsi="Palatino Linotype" w:cs="Arial"/>
          <w:bCs/>
        </w:rPr>
        <w:t>el</w:t>
      </w:r>
      <w:r w:rsidR="00910E6C">
        <w:rPr>
          <w:rFonts w:ascii="Palatino Linotype" w:hAnsi="Palatino Linotype" w:cs="Arial"/>
          <w:bCs/>
        </w:rPr>
        <w:t xml:space="preserve"> recurso</w:t>
      </w:r>
      <w:r w:rsidR="00910E6C" w:rsidRPr="00A053B5">
        <w:rPr>
          <w:rFonts w:ascii="Palatino Linotype" w:hAnsi="Palatino Linotype" w:cs="Arial"/>
          <w:bCs/>
        </w:rPr>
        <w:t xml:space="preserve"> </w:t>
      </w:r>
      <w:r w:rsidR="00910E6C">
        <w:rPr>
          <w:rFonts w:ascii="Palatino Linotype" w:hAnsi="Palatino Linotype" w:cs="Arial"/>
          <w:bCs/>
        </w:rPr>
        <w:t xml:space="preserve">de revisión número </w:t>
      </w:r>
      <w:r w:rsidR="00790D01">
        <w:rPr>
          <w:rFonts w:ascii="Palatino Linotype" w:hAnsi="Palatino Linotype" w:cs="Arial"/>
          <w:b/>
          <w:bCs/>
          <w:spacing w:val="-20"/>
          <w:lang w:val="es-MX"/>
        </w:rPr>
        <w:t>0</w:t>
      </w:r>
      <w:r w:rsidR="009D3952">
        <w:rPr>
          <w:rFonts w:ascii="Palatino Linotype" w:hAnsi="Palatino Linotype" w:cs="Arial"/>
          <w:b/>
          <w:bCs/>
          <w:spacing w:val="-20"/>
          <w:lang w:val="es-MX"/>
        </w:rPr>
        <w:t>0632</w:t>
      </w:r>
      <w:r w:rsidR="00790D01">
        <w:rPr>
          <w:rFonts w:ascii="Palatino Linotype" w:hAnsi="Palatino Linotype" w:cs="Arial"/>
          <w:b/>
          <w:bCs/>
          <w:spacing w:val="-20"/>
          <w:lang w:val="es-MX"/>
        </w:rPr>
        <w:t>/</w:t>
      </w:r>
      <w:r w:rsidR="00DC3BDE">
        <w:rPr>
          <w:rFonts w:ascii="Palatino Linotype" w:hAnsi="Palatino Linotype" w:cs="Arial"/>
          <w:b/>
          <w:bCs/>
          <w:spacing w:val="-20"/>
          <w:lang w:val="es-MX"/>
        </w:rPr>
        <w:t>INFOEM/IP/RR/201</w:t>
      </w:r>
      <w:r w:rsidR="009D3952">
        <w:rPr>
          <w:rFonts w:ascii="Palatino Linotype" w:hAnsi="Palatino Linotype" w:cs="Arial"/>
          <w:b/>
          <w:bCs/>
          <w:spacing w:val="-20"/>
          <w:lang w:val="es-MX"/>
        </w:rPr>
        <w:t>9</w:t>
      </w:r>
      <w:r w:rsidR="00910E6C">
        <w:rPr>
          <w:rFonts w:ascii="Palatino Linotype" w:hAnsi="Palatino Linotype" w:cs="Arial"/>
          <w:bCs/>
          <w:lang w:val="es-MX"/>
        </w:rPr>
        <w:t xml:space="preserve">, sentido que comparto en lo general, sin embargo, </w:t>
      </w:r>
      <w:r w:rsidR="009D3952">
        <w:rPr>
          <w:rFonts w:ascii="Palatino Linotype" w:hAnsi="Palatino Linotype" w:cs="Arial"/>
          <w:bCs/>
          <w:lang w:val="es-MX"/>
        </w:rPr>
        <w:t>considero pertinente realizar las siguientes precisiones.</w:t>
      </w:r>
    </w:p>
    <w:p w14:paraId="24A8BFD6" w14:textId="36C1D040" w:rsidR="009D3952" w:rsidRDefault="009D3952" w:rsidP="003A5148">
      <w:pPr>
        <w:spacing w:before="240" w:after="360" w:line="360" w:lineRule="auto"/>
        <w:jc w:val="both"/>
        <w:rPr>
          <w:rFonts w:ascii="Palatino Linotype" w:hAnsi="Palatino Linotype" w:cs="Arial"/>
          <w:bCs/>
          <w:lang w:val="es-MX"/>
        </w:rPr>
      </w:pPr>
      <w:r>
        <w:rPr>
          <w:rFonts w:ascii="Palatino Linotype" w:hAnsi="Palatino Linotype" w:cs="Arial"/>
          <w:bCs/>
          <w:lang w:val="es-MX"/>
        </w:rPr>
        <w:t xml:space="preserve">En primer lugar, que el Sujeto Obligado en respuesta señaló que se tienen una denuncia interpuesta en contra del </w:t>
      </w:r>
      <w:proofErr w:type="spellStart"/>
      <w:r w:rsidR="00513884">
        <w:rPr>
          <w:rFonts w:ascii="Palatino Linotype" w:hAnsi="Palatino Linotype" w:cs="Arial"/>
          <w:bCs/>
          <w:lang w:val="es-MX"/>
        </w:rPr>
        <w:t>Xxxxx</w:t>
      </w:r>
      <w:proofErr w:type="spellEnd"/>
      <w:r>
        <w:rPr>
          <w:rFonts w:ascii="Palatino Linotype" w:hAnsi="Palatino Linotype" w:cs="Arial"/>
          <w:bCs/>
          <w:lang w:val="es-MX"/>
        </w:rPr>
        <w:t xml:space="preserve"> </w:t>
      </w:r>
      <w:proofErr w:type="spellStart"/>
      <w:r w:rsidR="00513884">
        <w:rPr>
          <w:rFonts w:ascii="Palatino Linotype" w:hAnsi="Palatino Linotype" w:cs="Arial"/>
          <w:bCs/>
          <w:lang w:val="es-MX"/>
        </w:rPr>
        <w:t>Xxxxx</w:t>
      </w:r>
      <w:proofErr w:type="spellEnd"/>
      <w:r>
        <w:rPr>
          <w:rFonts w:ascii="Palatino Linotype" w:hAnsi="Palatino Linotype" w:cs="Arial"/>
          <w:bCs/>
          <w:lang w:val="es-MX"/>
        </w:rPr>
        <w:t xml:space="preserve"> </w:t>
      </w:r>
      <w:proofErr w:type="spellStart"/>
      <w:r w:rsidR="00513884">
        <w:rPr>
          <w:rFonts w:ascii="Palatino Linotype" w:hAnsi="Palatino Linotype" w:cs="Arial"/>
          <w:bCs/>
          <w:lang w:val="es-MX"/>
        </w:rPr>
        <w:t>Xxxxxxxx</w:t>
      </w:r>
      <w:proofErr w:type="spellEnd"/>
      <w:r>
        <w:rPr>
          <w:rFonts w:ascii="Palatino Linotype" w:hAnsi="Palatino Linotype" w:cs="Arial"/>
          <w:bCs/>
          <w:lang w:val="es-MX"/>
        </w:rPr>
        <w:t xml:space="preserve">, Directora del Plantel Nicolás Romero II del </w:t>
      </w:r>
      <w:proofErr w:type="spellStart"/>
      <w:r>
        <w:rPr>
          <w:rFonts w:ascii="Palatino Linotype" w:hAnsi="Palatino Linotype" w:cs="Arial"/>
          <w:bCs/>
          <w:lang w:val="es-MX"/>
        </w:rPr>
        <w:t>CECyTEM</w:t>
      </w:r>
      <w:proofErr w:type="spellEnd"/>
      <w:r>
        <w:rPr>
          <w:rFonts w:ascii="Palatino Linotype" w:hAnsi="Palatino Linotype" w:cs="Arial"/>
          <w:bCs/>
          <w:lang w:val="es-MX"/>
        </w:rPr>
        <w:t>, de la cual únicamente se proporcionara información a la autoridad competente que funde y motive en términos de los artículos 98 y 99 de la Ley de Responsabilidades Administrativas del Estado de México y Municipios.</w:t>
      </w:r>
    </w:p>
    <w:p w14:paraId="4B62BC1A" w14:textId="546765D7" w:rsidR="000451B0" w:rsidRDefault="000451B0" w:rsidP="003A5148">
      <w:pPr>
        <w:spacing w:before="240" w:after="360" w:line="360" w:lineRule="auto"/>
        <w:jc w:val="both"/>
        <w:rPr>
          <w:rFonts w:ascii="Palatino Linotype" w:hAnsi="Palatino Linotype" w:cs="Arial"/>
          <w:bCs/>
          <w:lang w:val="es-MX"/>
        </w:rPr>
      </w:pPr>
      <w:r>
        <w:rPr>
          <w:rFonts w:ascii="Palatino Linotype" w:hAnsi="Palatino Linotype" w:cs="Arial"/>
          <w:bCs/>
          <w:lang w:val="es-MX"/>
        </w:rPr>
        <w:t xml:space="preserve">Al respecto, la Ponencia que resuelve no emitió pronunciamiento al respecto para desestimar el pronunciamiento hecho por el Sujeto Obligado, toda vez que en términos de los preceptos </w:t>
      </w:r>
      <w:r>
        <w:rPr>
          <w:rFonts w:ascii="Palatino Linotype" w:hAnsi="Palatino Linotype" w:cs="Arial"/>
          <w:bCs/>
          <w:lang w:val="es-MX"/>
        </w:rPr>
        <w:lastRenderedPageBreak/>
        <w:t xml:space="preserve">normativos invocados, la autoridad que tiene acceso a la información es la “investigadora” </w:t>
      </w:r>
      <w:r w:rsidR="005D5B54">
        <w:rPr>
          <w:rFonts w:ascii="Palatino Linotype" w:hAnsi="Palatino Linotype" w:cs="Arial"/>
          <w:bCs/>
          <w:lang w:val="es-MX"/>
        </w:rPr>
        <w:t xml:space="preserve">que en términos del artículo 3 de la Ley de Responsabilidades Administrativas del Estado de México y Municipios, es la autoridad adscrita </w:t>
      </w:r>
      <w:r w:rsidR="005D5B54" w:rsidRPr="005D5B54">
        <w:rPr>
          <w:rFonts w:ascii="Palatino Linotype" w:hAnsi="Palatino Linotype"/>
        </w:rPr>
        <w:t>a la Secretaría de la Contraloría, a los órganos internos de control, al Órgano Superior, así como a las unidades de responsabilidades de las empresas de participación estatal o municipal, encargadas de la investigación de las faltas administrativas.</w:t>
      </w:r>
      <w:r w:rsidR="005D5B54">
        <w:rPr>
          <w:rFonts w:ascii="Palatino Linotype" w:hAnsi="Palatino Linotype" w:cs="Arial"/>
          <w:bCs/>
          <w:lang w:val="es-MX"/>
        </w:rPr>
        <w:t xml:space="preserve"> </w:t>
      </w:r>
      <w:r>
        <w:rPr>
          <w:rFonts w:ascii="Palatino Linotype" w:hAnsi="Palatino Linotype" w:cs="Arial"/>
          <w:bCs/>
          <w:lang w:val="es-MX"/>
        </w:rPr>
        <w:t xml:space="preserve"> </w:t>
      </w:r>
    </w:p>
    <w:p w14:paraId="0674C285" w14:textId="675A1C62" w:rsidR="005D5B54" w:rsidRDefault="005D5B54" w:rsidP="005D5B54">
      <w:pPr>
        <w:autoSpaceDE w:val="0"/>
        <w:autoSpaceDN w:val="0"/>
        <w:adjustRightInd w:val="0"/>
        <w:spacing w:before="240" w:after="240" w:line="360" w:lineRule="auto"/>
        <w:ind w:right="51"/>
        <w:jc w:val="both"/>
        <w:rPr>
          <w:rFonts w:ascii="Palatino Linotype" w:hAnsi="Palatino Linotype" w:cs="Arial"/>
        </w:rPr>
      </w:pPr>
      <w:r>
        <w:rPr>
          <w:rFonts w:ascii="Palatino Linotype" w:hAnsi="Palatino Linotype" w:cs="Arial"/>
          <w:bCs/>
          <w:lang w:val="es-MX"/>
        </w:rPr>
        <w:t xml:space="preserve">Por lo tanto, considero necesario señalar que en el caso, al ejercer el particular su derecho acceso a la información previsto en los diversos artículos </w:t>
      </w:r>
      <w:r>
        <w:rPr>
          <w:rFonts w:ascii="Palatino Linotype" w:hAnsi="Palatino Linotype"/>
        </w:rPr>
        <w:t>6</w:t>
      </w:r>
      <w:r w:rsidRPr="00A0374D">
        <w:rPr>
          <w:rFonts w:ascii="Palatino Linotype" w:hAnsi="Palatino Linotype" w:cs="Arial"/>
        </w:rPr>
        <w:t xml:space="preserve">, apartado A, numeral III de la Constitución Política de los Estados Unidos Mexicanos </w:t>
      </w:r>
      <w:r>
        <w:rPr>
          <w:rFonts w:ascii="Palatino Linotype" w:hAnsi="Palatino Linotype" w:cs="Arial"/>
        </w:rPr>
        <w:t xml:space="preserve"> y </w:t>
      </w:r>
      <w:r w:rsidRPr="00A0374D">
        <w:rPr>
          <w:rFonts w:ascii="Palatino Linotype" w:hAnsi="Palatino Linotype" w:cs="Arial"/>
        </w:rPr>
        <w:t>5 de la Constitución Política del Es</w:t>
      </w:r>
      <w:r>
        <w:rPr>
          <w:rFonts w:ascii="Palatino Linotype" w:hAnsi="Palatino Linotype" w:cs="Arial"/>
        </w:rPr>
        <w:t>tado Libre y Soberano de México</w:t>
      </w:r>
      <w:r w:rsidRPr="00A0374D">
        <w:rPr>
          <w:rFonts w:ascii="Palatino Linotype" w:hAnsi="Palatino Linotype" w:cs="Arial"/>
        </w:rPr>
        <w:t xml:space="preserve">, </w:t>
      </w:r>
      <w:r>
        <w:rPr>
          <w:rFonts w:ascii="Palatino Linotype" w:hAnsi="Palatino Linotype" w:cs="Arial"/>
        </w:rPr>
        <w:t xml:space="preserve">trae implícito que el sujeto obligado ponga su disposición </w:t>
      </w:r>
      <w:r w:rsidRPr="00A0374D">
        <w:rPr>
          <w:rFonts w:ascii="Palatino Linotype" w:hAnsi="Palatino Linotype" w:cs="Arial"/>
        </w:rPr>
        <w:t>sin necesidad de acreditar interés alguno o justificar su utilización</w:t>
      </w:r>
      <w:r>
        <w:rPr>
          <w:rFonts w:ascii="Palatino Linotype" w:hAnsi="Palatino Linotype" w:cs="Arial"/>
        </w:rPr>
        <w:t>, los documentos que genere en el ejercicio de sus atribuciones, de manera gratuita</w:t>
      </w:r>
      <w:r w:rsidRPr="00A0374D">
        <w:rPr>
          <w:rFonts w:ascii="Palatino Linotype" w:hAnsi="Palatino Linotype" w:cs="Arial"/>
        </w:rPr>
        <w:t>.</w:t>
      </w:r>
    </w:p>
    <w:p w14:paraId="019DCAD8" w14:textId="478451AF" w:rsidR="00F3621D" w:rsidRDefault="00297B74" w:rsidP="003A5148">
      <w:pPr>
        <w:spacing w:before="240" w:after="360" w:line="360" w:lineRule="auto"/>
        <w:jc w:val="both"/>
        <w:rPr>
          <w:rFonts w:ascii="Palatino Linotype" w:hAnsi="Palatino Linotype" w:cs="Arial"/>
          <w:bCs/>
          <w:lang w:val="es-MX"/>
        </w:rPr>
      </w:pPr>
      <w:r>
        <w:rPr>
          <w:rFonts w:ascii="Palatino Linotype" w:hAnsi="Palatino Linotype" w:cs="Arial"/>
          <w:bCs/>
          <w:lang w:val="es-MX"/>
        </w:rPr>
        <w:t>Bajo dicho contexto</w:t>
      </w:r>
      <w:r w:rsidR="005D5B54">
        <w:rPr>
          <w:rFonts w:ascii="Palatino Linotype" w:hAnsi="Palatino Linotype" w:cs="Arial"/>
          <w:bCs/>
          <w:lang w:val="es-MX"/>
        </w:rPr>
        <w:t>,</w:t>
      </w:r>
      <w:r>
        <w:rPr>
          <w:rFonts w:ascii="Palatino Linotype" w:hAnsi="Palatino Linotype" w:cs="Arial"/>
          <w:bCs/>
          <w:lang w:val="es-MX"/>
        </w:rPr>
        <w:t xml:space="preserve"> considero que</w:t>
      </w:r>
      <w:r w:rsidR="005D5B54">
        <w:rPr>
          <w:rFonts w:ascii="Palatino Linotype" w:hAnsi="Palatino Linotype" w:cs="Arial"/>
          <w:bCs/>
          <w:lang w:val="es-MX"/>
        </w:rPr>
        <w:t xml:space="preserve"> resulta restrictivo y claramente violatorio que el Sujeto Obligado indique, que sólo entregara la información a las autoridades investigado</w:t>
      </w:r>
      <w:r>
        <w:rPr>
          <w:rFonts w:ascii="Palatino Linotype" w:hAnsi="Palatino Linotype" w:cs="Arial"/>
          <w:bCs/>
          <w:lang w:val="es-MX"/>
        </w:rPr>
        <w:t>ras que lo acrediten, toda vez que el derecho humano de acceso a la información, es la prerrogativa de las personas para buscar, difundir, investigar, recabar, recibir y solicitar información pública, sin necesidad de acreditar su personalidad ni interés jurídico.</w:t>
      </w:r>
    </w:p>
    <w:p w14:paraId="1A058FBA" w14:textId="07A8CE78" w:rsidR="00297B74" w:rsidRDefault="00297B74" w:rsidP="003A5148">
      <w:pPr>
        <w:spacing w:before="240" w:after="360" w:line="360" w:lineRule="auto"/>
        <w:jc w:val="both"/>
        <w:rPr>
          <w:rFonts w:ascii="Palatino Linotype" w:hAnsi="Palatino Linotype" w:cs="Arial"/>
          <w:bCs/>
          <w:lang w:val="es-MX"/>
        </w:rPr>
      </w:pPr>
      <w:r>
        <w:rPr>
          <w:rFonts w:ascii="Palatino Linotype" w:hAnsi="Palatino Linotype" w:cs="Arial"/>
          <w:bCs/>
          <w:lang w:val="es-MX"/>
        </w:rPr>
        <w:t>Aunado a que no hizo valer ninguna de las excepciones al derecho de acceso a la información por actualizarse cualquiera de los supuestos de clasificación previstos en la Ley, no obstante, que el mismo Sujeto Obligado acepto expresamente que existe una denuncia presentada en contra de la Servidora Pública.</w:t>
      </w:r>
    </w:p>
    <w:p w14:paraId="7DC4D9F3" w14:textId="115FAD59" w:rsidR="002A7E27" w:rsidRDefault="002A7E27" w:rsidP="003A5148">
      <w:pPr>
        <w:spacing w:before="240" w:after="360" w:line="360" w:lineRule="auto"/>
        <w:jc w:val="both"/>
        <w:rPr>
          <w:rFonts w:ascii="Palatino Linotype" w:hAnsi="Palatino Linotype" w:cs="Arial"/>
          <w:bCs/>
          <w:lang w:val="es-MX"/>
        </w:rPr>
      </w:pPr>
      <w:r>
        <w:rPr>
          <w:rFonts w:ascii="Palatino Linotype" w:hAnsi="Palatino Linotype" w:cs="Arial"/>
          <w:bCs/>
          <w:lang w:val="es-MX"/>
        </w:rPr>
        <w:lastRenderedPageBreak/>
        <w:t>En consecuencia, considero que debió ordenarse el expediente de la queja y/o denuncia presentada en contra de la Servidora Pública referida en la solicitud de información, sólo en el supuesto de que hubiese causado estado y que haya tenido como resultado la imposición de una sanción administrativa grave, en ese orden de ideas, a mi parecer ya no era necesario ordenar lo señalado en el inciso c), toda vez que en el expediente concluido, obra la resolución emitida en la que se determinó la interposición de sanción administrativa grave en su caso.</w:t>
      </w:r>
    </w:p>
    <w:p w14:paraId="61CD19C6" w14:textId="3EBED519" w:rsidR="003A5148" w:rsidRPr="0025223E" w:rsidRDefault="0025223E" w:rsidP="00650807">
      <w:pPr>
        <w:spacing w:before="240" w:after="240" w:line="360" w:lineRule="auto"/>
        <w:jc w:val="both"/>
        <w:rPr>
          <w:rFonts w:ascii="Palatino Linotype" w:hAnsi="Palatino Linotype" w:cs="Arial"/>
        </w:rPr>
      </w:pPr>
      <w:r>
        <w:rPr>
          <w:rFonts w:ascii="Palatino Linotype" w:hAnsi="Palatino Linotype" w:cs="Arial"/>
          <w:bCs/>
          <w:lang w:val="es-MX"/>
        </w:rPr>
        <w:t>Ahora bien, en el supuesto de que no se haya concluido el procedimiento, comparto con la Ponencia que resuelve, la determinación de clasificar la información como reservada, no obstante, e</w:t>
      </w:r>
      <w:r w:rsidR="00F3621D">
        <w:rPr>
          <w:rFonts w:ascii="Palatino Linotype" w:hAnsi="Palatino Linotype"/>
          <w:color w:val="222222"/>
          <w:szCs w:val="17"/>
          <w:lang w:eastAsia="es-ES_tradnl"/>
        </w:rPr>
        <w:t xml:space="preserve">n mi opinión se le </w:t>
      </w:r>
      <w:r w:rsidR="002D1549">
        <w:rPr>
          <w:rFonts w:ascii="Palatino Linotype" w:hAnsi="Palatino Linotype"/>
          <w:color w:val="222222"/>
          <w:szCs w:val="17"/>
          <w:lang w:eastAsia="es-ES_tradnl"/>
        </w:rPr>
        <w:t>debió</w:t>
      </w:r>
      <w:r w:rsidR="00F3621D">
        <w:rPr>
          <w:rFonts w:ascii="Palatino Linotype" w:hAnsi="Palatino Linotype"/>
          <w:color w:val="222222"/>
          <w:szCs w:val="17"/>
          <w:lang w:eastAsia="es-ES_tradnl"/>
        </w:rPr>
        <w:t xml:space="preserve"> </w:t>
      </w:r>
      <w:r w:rsidR="002D1549">
        <w:rPr>
          <w:rFonts w:ascii="Palatino Linotype" w:hAnsi="Palatino Linotype"/>
          <w:color w:val="222222"/>
          <w:szCs w:val="17"/>
          <w:lang w:eastAsia="es-ES_tradnl"/>
        </w:rPr>
        <w:t>notificar al particular que podía</w:t>
      </w:r>
      <w:r w:rsidR="00F3621D">
        <w:rPr>
          <w:rFonts w:ascii="Palatino Linotype" w:hAnsi="Palatino Linotype"/>
          <w:color w:val="222222"/>
          <w:szCs w:val="17"/>
          <w:lang w:eastAsia="es-ES_tradnl"/>
        </w:rPr>
        <w:t xml:space="preserve"> </w:t>
      </w:r>
      <w:r w:rsidR="00F3621D" w:rsidRPr="00207478">
        <w:rPr>
          <w:rFonts w:ascii="Palatino Linotype" w:hAnsi="Palatino Linotype"/>
        </w:rPr>
        <w:t>impugnar</w:t>
      </w:r>
      <w:r w:rsidR="00DC3BDE">
        <w:rPr>
          <w:rFonts w:ascii="Palatino Linotype" w:hAnsi="Palatino Linotype"/>
        </w:rPr>
        <w:t xml:space="preserve"> la resolución</w:t>
      </w:r>
      <w:r w:rsidR="00F3621D" w:rsidRPr="00207478">
        <w:rPr>
          <w:rFonts w:ascii="Palatino Linotype" w:hAnsi="Palatino Linotype"/>
        </w:rPr>
        <w:t xml:space="preserve"> vía recurso de inconformidad ante el Instituto Nacional de Transparencia, Acceso a la Información y Protección de Datos Personales</w:t>
      </w:r>
      <w:r>
        <w:rPr>
          <w:rFonts w:ascii="Palatino Linotype" w:hAnsi="Palatino Linotype"/>
        </w:rPr>
        <w:t xml:space="preserve">, </w:t>
      </w:r>
      <w:r w:rsidR="00F90894">
        <w:rPr>
          <w:rFonts w:ascii="Palatino Linotype" w:hAnsi="Palatino Linotype" w:cs="Arial"/>
        </w:rPr>
        <w:t>favoreciendo con ello lo previsto en el artículo 1</w:t>
      </w:r>
      <w:r w:rsidR="00F90894">
        <w:rPr>
          <w:rStyle w:val="Refdenotaalpie"/>
          <w:rFonts w:ascii="Palatino Linotype" w:hAnsi="Palatino Linotype" w:cs="Arial"/>
        </w:rPr>
        <w:footnoteReference w:id="1"/>
      </w:r>
      <w:r w:rsidR="00F90894">
        <w:rPr>
          <w:rFonts w:ascii="Palatino Linotype" w:hAnsi="Palatino Linotype" w:cs="Arial"/>
        </w:rPr>
        <w:t xml:space="preserve"> de la Constitución Política de los Estados Unidos Mexicanos, a partir de </w:t>
      </w:r>
      <w:r w:rsidR="001D3EA3">
        <w:rPr>
          <w:rFonts w:ascii="Palatino Linotype" w:hAnsi="Palatino Linotype" w:cs="Arial"/>
        </w:rPr>
        <w:t>la interpretación</w:t>
      </w:r>
      <w:r w:rsidR="001D3EA3">
        <w:rPr>
          <w:rStyle w:val="Refdenotaalpie"/>
          <w:rFonts w:ascii="Palatino Linotype" w:hAnsi="Palatino Linotype" w:cs="Arial"/>
        </w:rPr>
        <w:footnoteReference w:id="2"/>
      </w:r>
      <w:r w:rsidR="001D3EA3">
        <w:rPr>
          <w:rFonts w:ascii="Palatino Linotype" w:hAnsi="Palatino Linotype" w:cs="Arial"/>
        </w:rPr>
        <w:t xml:space="preserve"> a </w:t>
      </w:r>
      <w:r w:rsidR="00C650FE">
        <w:rPr>
          <w:rFonts w:ascii="Palatino Linotype" w:hAnsi="Palatino Linotype" w:cs="Arial"/>
        </w:rPr>
        <w:t xml:space="preserve">los </w:t>
      </w:r>
      <w:r w:rsidR="00C650FE">
        <w:rPr>
          <w:rFonts w:ascii="Palatino Linotype" w:hAnsi="Palatino Linotype" w:cs="Arial"/>
        </w:rPr>
        <w:lastRenderedPageBreak/>
        <w:t>artículos 159 y 160 de la Ley General de Transparencia y Acceso a la Información Pública que son de la literalidad siguiente:</w:t>
      </w:r>
    </w:p>
    <w:p w14:paraId="4F3E9BD8" w14:textId="77777777" w:rsidR="00C650FE" w:rsidRPr="003A5148" w:rsidRDefault="00C650FE" w:rsidP="0025223E">
      <w:pPr>
        <w:spacing w:before="120"/>
        <w:ind w:left="851" w:right="902"/>
        <w:jc w:val="both"/>
        <w:rPr>
          <w:rFonts w:ascii="Palatino Linotype" w:hAnsi="Palatino Linotype" w:cs="Arial"/>
          <w:i/>
          <w:sz w:val="20"/>
          <w:szCs w:val="20"/>
        </w:rPr>
      </w:pPr>
      <w:r w:rsidRPr="003A5148">
        <w:rPr>
          <w:rFonts w:ascii="Palatino Linotype" w:hAnsi="Palatino Linotype" w:cs="Arial"/>
          <w:b/>
          <w:i/>
          <w:sz w:val="20"/>
          <w:szCs w:val="20"/>
        </w:rPr>
        <w:t xml:space="preserve">“Artículo 159. </w:t>
      </w:r>
      <w:r w:rsidRPr="003A5148">
        <w:rPr>
          <w:rFonts w:ascii="Palatino Linotype" w:hAnsi="Palatino Linotype" w:cs="Arial"/>
          <w:i/>
          <w:sz w:val="20"/>
          <w:szCs w:val="20"/>
        </w:rPr>
        <w:t>Tratándose de las resoluciones a los recursos de revisión de los Organismos garantes de las Entidades Federativas, los particulares podrán optar por acudir ante el Instituto o ante el Poder Judicial de la Federación.</w:t>
      </w:r>
    </w:p>
    <w:p w14:paraId="2FED9BD7" w14:textId="77777777" w:rsidR="00C650FE" w:rsidRPr="003A5148" w:rsidRDefault="00C650FE" w:rsidP="00650807">
      <w:pPr>
        <w:spacing w:before="120"/>
        <w:ind w:left="851" w:right="902"/>
        <w:jc w:val="both"/>
        <w:rPr>
          <w:rFonts w:ascii="Palatino Linotype" w:hAnsi="Palatino Linotype" w:cs="Arial"/>
          <w:i/>
          <w:sz w:val="20"/>
          <w:szCs w:val="20"/>
        </w:rPr>
      </w:pPr>
      <w:r w:rsidRPr="003A5148">
        <w:rPr>
          <w:rFonts w:ascii="Palatino Linotype" w:hAnsi="Palatino Linotype" w:cs="Arial"/>
          <w:b/>
          <w:i/>
          <w:sz w:val="20"/>
          <w:szCs w:val="20"/>
        </w:rPr>
        <w:t>Artículo 160.</w:t>
      </w:r>
      <w:r w:rsidRPr="003A5148">
        <w:rPr>
          <w:rFonts w:ascii="Palatino Linotype" w:hAnsi="Palatino Linotype" w:cs="Arial"/>
          <w:i/>
          <w:sz w:val="20"/>
          <w:szCs w:val="20"/>
        </w:rPr>
        <w:t xml:space="preserve"> El recurso de inconformidad procede contra las resoluciones emitidas por los Organismos garantes de las Entidades Federativas que:</w:t>
      </w:r>
    </w:p>
    <w:p w14:paraId="49804FEF" w14:textId="77777777" w:rsidR="00C650FE" w:rsidRDefault="00C650FE" w:rsidP="0025223E">
      <w:pPr>
        <w:ind w:left="851" w:right="902"/>
        <w:jc w:val="both"/>
        <w:rPr>
          <w:rFonts w:ascii="Palatino Linotype" w:hAnsi="Palatino Linotype" w:cs="Arial"/>
          <w:i/>
          <w:sz w:val="20"/>
          <w:szCs w:val="20"/>
        </w:rPr>
      </w:pPr>
      <w:r w:rsidRPr="003A5148">
        <w:rPr>
          <w:rFonts w:ascii="Palatino Linotype" w:hAnsi="Palatino Linotype" w:cs="Arial"/>
          <w:i/>
          <w:sz w:val="20"/>
          <w:szCs w:val="20"/>
        </w:rPr>
        <w:t>I. Confirmen o modifiquen la clasificación de la información</w:t>
      </w:r>
      <w:proofErr w:type="gramStart"/>
      <w:r w:rsidRPr="003A5148">
        <w:rPr>
          <w:rFonts w:ascii="Palatino Linotype" w:hAnsi="Palatino Linotype" w:cs="Arial"/>
          <w:i/>
          <w:sz w:val="20"/>
          <w:szCs w:val="20"/>
        </w:rPr>
        <w:t>, …”</w:t>
      </w:r>
      <w:proofErr w:type="gramEnd"/>
    </w:p>
    <w:p w14:paraId="14629BBF" w14:textId="77777777" w:rsidR="003A5148" w:rsidRPr="003A5148" w:rsidRDefault="003A5148" w:rsidP="0025223E">
      <w:pPr>
        <w:ind w:left="851" w:right="902"/>
        <w:jc w:val="both"/>
        <w:rPr>
          <w:rFonts w:ascii="Palatino Linotype" w:hAnsi="Palatino Linotype" w:cs="Arial"/>
          <w:i/>
          <w:sz w:val="20"/>
          <w:szCs w:val="20"/>
        </w:rPr>
      </w:pPr>
    </w:p>
    <w:p w14:paraId="12D154EB" w14:textId="0C169908" w:rsidR="0082281C" w:rsidRDefault="00F40941" w:rsidP="00650807">
      <w:pPr>
        <w:spacing w:before="240" w:after="240" w:line="360" w:lineRule="auto"/>
        <w:jc w:val="both"/>
        <w:rPr>
          <w:rFonts w:ascii="Palatino Linotype" w:hAnsi="Palatino Linotype"/>
        </w:rPr>
      </w:pPr>
      <w:r>
        <w:rPr>
          <w:rFonts w:ascii="Palatino Linotype" w:hAnsi="Palatino Linotype"/>
        </w:rPr>
        <w:t>En este sentido, y para abundar en el tema conviene precisar que los particulares podrán interponer recurso de inconformidad ante el INAI o ante el Poder Judicial de la Federación dentro de los quince días posteriores a que se tuvo conocimiento de la resolución mediante el sistema electrónico que para tales efectos haya dispuesto el INAI o por escrito.</w:t>
      </w:r>
    </w:p>
    <w:p w14:paraId="2318DE58" w14:textId="6284B647" w:rsidR="00F40941" w:rsidRDefault="00F40941" w:rsidP="003A5148">
      <w:pPr>
        <w:spacing w:before="240" w:after="360" w:line="360" w:lineRule="auto"/>
        <w:jc w:val="both"/>
        <w:rPr>
          <w:rFonts w:ascii="Palatino Linotype" w:hAnsi="Palatino Linotype"/>
        </w:rPr>
      </w:pPr>
      <w:r>
        <w:rPr>
          <w:rFonts w:ascii="Palatino Linotype" w:hAnsi="Palatino Linotype"/>
        </w:rPr>
        <w:lastRenderedPageBreak/>
        <w:t>Cabe considerar, que también se podrá presentar por escrito ante este Instituto, instancia que a su vez tiene la obligación de remitirlo</w:t>
      </w:r>
      <w:r w:rsidR="00393DFF">
        <w:rPr>
          <w:rFonts w:ascii="Palatino Linotype" w:hAnsi="Palatino Linotype"/>
        </w:rPr>
        <w:t xml:space="preserve"> al día siguiente de su recepción</w:t>
      </w:r>
      <w:r>
        <w:rPr>
          <w:rFonts w:ascii="Palatino Linotype" w:hAnsi="Palatino Linotype"/>
        </w:rPr>
        <w:t xml:space="preserve"> </w:t>
      </w:r>
      <w:r w:rsidR="00393DFF">
        <w:rPr>
          <w:rFonts w:ascii="Palatino Linotype" w:hAnsi="Palatino Linotype"/>
        </w:rPr>
        <w:t>al Organismo Garante de la Entidad Federativa, acompañado de la resolución impugnada.</w:t>
      </w:r>
    </w:p>
    <w:p w14:paraId="30DA30E9" w14:textId="46784406" w:rsidR="00393DFF" w:rsidRDefault="00393DFF" w:rsidP="0025223E">
      <w:pPr>
        <w:jc w:val="both"/>
        <w:rPr>
          <w:rFonts w:ascii="Palatino Linotype" w:hAnsi="Palatino Linotype"/>
        </w:rPr>
      </w:pPr>
      <w:r>
        <w:rPr>
          <w:rFonts w:ascii="Palatino Linotype" w:hAnsi="Palatino Linotype"/>
        </w:rPr>
        <w:t>Recurso de inconformidad, que deberá contener lo dispuesto en el artículo 162 de la Ley General de referencia, que reza de la siguiente forma:</w:t>
      </w:r>
    </w:p>
    <w:p w14:paraId="1452E548" w14:textId="2F4D701C" w:rsidR="00393DFF" w:rsidRPr="003A5148" w:rsidRDefault="00393DFF" w:rsidP="0025223E">
      <w:pPr>
        <w:spacing w:before="120"/>
        <w:ind w:left="851" w:right="902"/>
        <w:jc w:val="both"/>
        <w:rPr>
          <w:rFonts w:ascii="Palatino Linotype" w:hAnsi="Palatino Linotype"/>
          <w:i/>
          <w:sz w:val="20"/>
          <w:szCs w:val="20"/>
        </w:rPr>
      </w:pPr>
      <w:r w:rsidRPr="003A5148">
        <w:rPr>
          <w:rFonts w:ascii="Palatino Linotype" w:hAnsi="Palatino Linotype"/>
          <w:b/>
          <w:i/>
          <w:sz w:val="20"/>
          <w:szCs w:val="20"/>
        </w:rPr>
        <w:t>“Artículo 162.</w:t>
      </w:r>
      <w:r w:rsidRPr="003A5148">
        <w:rPr>
          <w:rFonts w:ascii="Palatino Linotype" w:hAnsi="Palatino Linotype"/>
          <w:i/>
          <w:sz w:val="20"/>
          <w:szCs w:val="20"/>
        </w:rPr>
        <w:t xml:space="preserve"> El recurso de inconformidad deberá contener:  </w:t>
      </w:r>
    </w:p>
    <w:p w14:paraId="4B32A604" w14:textId="77777777" w:rsidR="00393DFF" w:rsidRPr="003A5148" w:rsidRDefault="00393DFF" w:rsidP="0025223E">
      <w:pPr>
        <w:ind w:left="1134" w:right="902"/>
        <w:jc w:val="both"/>
        <w:rPr>
          <w:rFonts w:ascii="Palatino Linotype" w:hAnsi="Palatino Linotype"/>
          <w:i/>
          <w:sz w:val="20"/>
          <w:szCs w:val="20"/>
        </w:rPr>
      </w:pPr>
      <w:r w:rsidRPr="003A5148">
        <w:rPr>
          <w:rFonts w:ascii="Palatino Linotype" w:hAnsi="Palatino Linotype"/>
          <w:i/>
          <w:sz w:val="20"/>
          <w:szCs w:val="20"/>
        </w:rPr>
        <w:t xml:space="preserve">I. El sujeto obligado ante el cual se presentó la solicitud;  </w:t>
      </w:r>
    </w:p>
    <w:p w14:paraId="7117BD65" w14:textId="77777777" w:rsidR="00393DFF" w:rsidRPr="003A5148" w:rsidRDefault="00393DFF" w:rsidP="0025223E">
      <w:pPr>
        <w:ind w:left="1134" w:right="902"/>
        <w:jc w:val="both"/>
        <w:rPr>
          <w:rFonts w:ascii="Palatino Linotype" w:hAnsi="Palatino Linotype"/>
          <w:i/>
          <w:sz w:val="20"/>
          <w:szCs w:val="20"/>
        </w:rPr>
      </w:pPr>
      <w:r w:rsidRPr="003A5148">
        <w:rPr>
          <w:rFonts w:ascii="Palatino Linotype" w:hAnsi="Palatino Linotype"/>
          <w:i/>
          <w:sz w:val="20"/>
          <w:szCs w:val="20"/>
        </w:rPr>
        <w:t xml:space="preserve">II. El número de la resolución del recurso de revisión de la resolución impugnada;  </w:t>
      </w:r>
    </w:p>
    <w:p w14:paraId="36C9B2A5"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III. El organismo garante que emitió la resolución que se impugna;  </w:t>
      </w:r>
    </w:p>
    <w:p w14:paraId="72D72D98"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IV. El nombre del inconforme y, en su caso, del tercero interesado, así como las correspondientes direcciones o medios para recibir notificaciones;  </w:t>
      </w:r>
    </w:p>
    <w:p w14:paraId="43FD0F43"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 La fecha en que fue notificada la resolución impugnada;  </w:t>
      </w:r>
    </w:p>
    <w:p w14:paraId="5E3F5EAC"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 El acto que se recurre;  </w:t>
      </w:r>
    </w:p>
    <w:p w14:paraId="401FC473"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VII. Las razones o motivos de la inconformidad, y  </w:t>
      </w:r>
    </w:p>
    <w:p w14:paraId="1DC0530F" w14:textId="77777777" w:rsidR="00393DFF" w:rsidRPr="003A5148" w:rsidRDefault="00393DFF" w:rsidP="00393DFF">
      <w:pPr>
        <w:ind w:left="1134" w:right="902"/>
        <w:jc w:val="both"/>
        <w:rPr>
          <w:rFonts w:ascii="Palatino Linotype" w:hAnsi="Palatino Linotype"/>
          <w:i/>
          <w:sz w:val="20"/>
          <w:szCs w:val="20"/>
        </w:rPr>
      </w:pPr>
      <w:r w:rsidRPr="003A5148">
        <w:rPr>
          <w:rFonts w:ascii="Palatino Linotype" w:hAnsi="Palatino Linotype"/>
          <w:i/>
          <w:sz w:val="20"/>
          <w:szCs w:val="20"/>
        </w:rPr>
        <w:t xml:space="preserve">VIII. La copia de la resolución que se impugna y, en su caso, de la notificación correspondiente.  </w:t>
      </w:r>
    </w:p>
    <w:p w14:paraId="6ED375DB" w14:textId="5C91E867" w:rsidR="00393DFF" w:rsidRDefault="00393DFF" w:rsidP="00393DFF">
      <w:pPr>
        <w:ind w:left="851" w:right="902"/>
        <w:jc w:val="both"/>
        <w:rPr>
          <w:rFonts w:ascii="Palatino Linotype" w:hAnsi="Palatino Linotype"/>
          <w:i/>
          <w:sz w:val="20"/>
          <w:szCs w:val="20"/>
        </w:rPr>
      </w:pPr>
      <w:r w:rsidRPr="003A5148">
        <w:rPr>
          <w:rFonts w:ascii="Palatino Linotype" w:hAnsi="Palatino Linotype"/>
          <w:i/>
          <w:sz w:val="20"/>
          <w:szCs w:val="20"/>
        </w:rPr>
        <w:t>El recurrente podrá anexar las pruebas y demás elementos que considere procedentes someter a consideración del organismo garante.”</w:t>
      </w:r>
    </w:p>
    <w:p w14:paraId="2F94249F" w14:textId="459190C7" w:rsidR="00C52711" w:rsidRPr="00C52711" w:rsidRDefault="00C66660" w:rsidP="00553412">
      <w:pPr>
        <w:spacing w:before="240" w:after="240" w:line="360" w:lineRule="auto"/>
        <w:jc w:val="both"/>
        <w:rPr>
          <w:rFonts w:ascii="Palatino Linotype" w:hAnsi="Palatino Linotype"/>
        </w:rPr>
      </w:pPr>
      <w:r>
        <w:rPr>
          <w:rFonts w:ascii="Palatino Linotype" w:hAnsi="Palatino Linotype"/>
        </w:rPr>
        <w:t xml:space="preserve">Por lo que </w:t>
      </w:r>
      <w:r w:rsidR="002E0EDE">
        <w:rPr>
          <w:rFonts w:ascii="Palatino Linotype" w:hAnsi="Palatino Linotype"/>
        </w:rPr>
        <w:t>concluyó</w:t>
      </w:r>
      <w:r>
        <w:rPr>
          <w:rFonts w:ascii="Palatino Linotype" w:hAnsi="Palatino Linotype"/>
        </w:rPr>
        <w:t xml:space="preserve"> diciendo</w:t>
      </w:r>
      <w:r w:rsidR="002E0EDE">
        <w:rPr>
          <w:rFonts w:ascii="Palatino Linotype" w:hAnsi="Palatino Linotype"/>
        </w:rPr>
        <w:t>,</w:t>
      </w:r>
      <w:r>
        <w:rPr>
          <w:rFonts w:ascii="Palatino Linotype" w:hAnsi="Palatino Linotype"/>
        </w:rPr>
        <w:t xml:space="preserve"> que </w:t>
      </w:r>
      <w:r w:rsidR="00C52711">
        <w:rPr>
          <w:rFonts w:ascii="Palatino Linotype" w:hAnsi="Palatino Linotype"/>
        </w:rPr>
        <w:t>la Ponencia debió seguir principios básicos para hacer efectivo los derechos del particular, cumpliendo cabalmente con la obligación de examinar con exhaustividad las cuestiones planteadas en el asunto, bajo un análisis profundo, en el que no basta con ordenar la información, sino que a mi consideración debe ha</w:t>
      </w:r>
      <w:bookmarkStart w:id="0" w:name="_GoBack"/>
      <w:bookmarkEnd w:id="0"/>
      <w:r w:rsidR="00C52711">
        <w:rPr>
          <w:rFonts w:ascii="Palatino Linotype" w:hAnsi="Palatino Linotype"/>
        </w:rPr>
        <w:t xml:space="preserve">cerse un análisis profundo a las respuestas notificadas por los sujetos obligados, puesto que si bien la misma fue revocada, en ningún momento se hizo hincapié sobre la base del ejercicio del derecho de acceso a la información, que es el acceso a </w:t>
      </w:r>
      <w:r w:rsidR="00C52711" w:rsidRPr="00C52711">
        <w:rPr>
          <w:rFonts w:ascii="Palatino Linotype" w:hAnsi="Palatino Linotype"/>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w:t>
      </w:r>
      <w:r w:rsidR="00C52711" w:rsidRPr="00C52711">
        <w:rPr>
          <w:rFonts w:ascii="Palatino Linotype" w:hAnsi="Palatino Linotype"/>
        </w:rPr>
        <w:lastRenderedPageBreak/>
        <w:t>públicos e integrantes, sin importar su fuente o fecha de elaboración. Los documentos podrán estar en cualquier medio, sea escrito, impreso, sonoro, visual, electrónico, informático u holográfico</w:t>
      </w:r>
      <w:r w:rsidR="00C52711">
        <w:rPr>
          <w:rFonts w:ascii="Palatino Linotype" w:hAnsi="Palatino Linotype"/>
        </w:rPr>
        <w:t>.</w:t>
      </w:r>
    </w:p>
    <w:p w14:paraId="4A3A0639" w14:textId="77777777" w:rsidR="006E55BA" w:rsidRDefault="006E55BA" w:rsidP="002E0EDE">
      <w:pPr>
        <w:spacing w:before="120" w:after="240" w:line="360" w:lineRule="auto"/>
        <w:jc w:val="both"/>
        <w:rPr>
          <w:rFonts w:ascii="Palatino Linotype" w:hAnsi="Palatino Linoty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7C2AA3" w:rsidRPr="00506B07" w14:paraId="28BCC321" w14:textId="77777777" w:rsidTr="007C2AA3">
        <w:trPr>
          <w:jc w:val="center"/>
        </w:trPr>
        <w:tc>
          <w:tcPr>
            <w:tcW w:w="4414" w:type="dxa"/>
          </w:tcPr>
          <w:p w14:paraId="1A18A5B4" w14:textId="2D8636EC" w:rsidR="007C2AA3" w:rsidRPr="00506B07" w:rsidRDefault="007C2AA3" w:rsidP="00A55065">
            <w:pPr>
              <w:jc w:val="center"/>
              <w:rPr>
                <w:rFonts w:ascii="Palatino Linotype" w:hAnsi="Palatino Linotype"/>
                <w:sz w:val="24"/>
                <w:szCs w:val="24"/>
              </w:rPr>
            </w:pPr>
            <w:r w:rsidRPr="00506B07">
              <w:rPr>
                <w:rFonts w:ascii="Palatino Linotype" w:hAnsi="Palatino Linotype"/>
                <w:b/>
                <w:sz w:val="24"/>
                <w:szCs w:val="24"/>
              </w:rPr>
              <w:t>Javier Martínez Cruz</w:t>
            </w:r>
          </w:p>
        </w:tc>
      </w:tr>
      <w:tr w:rsidR="007C2AA3" w:rsidRPr="00506B07" w14:paraId="29F9E988" w14:textId="77777777" w:rsidTr="007C2AA3">
        <w:trPr>
          <w:jc w:val="center"/>
        </w:trPr>
        <w:tc>
          <w:tcPr>
            <w:tcW w:w="4414" w:type="dxa"/>
          </w:tcPr>
          <w:p w14:paraId="3C999C29" w14:textId="77777777" w:rsidR="007C2AA3" w:rsidRDefault="007C2AA3" w:rsidP="00515268">
            <w:pPr>
              <w:jc w:val="center"/>
              <w:rPr>
                <w:rFonts w:ascii="Palatino Linotype" w:hAnsi="Palatino Linotype"/>
                <w:b/>
                <w:sz w:val="24"/>
                <w:szCs w:val="24"/>
              </w:rPr>
            </w:pPr>
            <w:r w:rsidRPr="00506B07">
              <w:rPr>
                <w:rFonts w:ascii="Palatino Linotype" w:hAnsi="Palatino Linotype"/>
                <w:b/>
                <w:sz w:val="24"/>
                <w:szCs w:val="24"/>
              </w:rPr>
              <w:t>Comisionado</w:t>
            </w:r>
          </w:p>
          <w:p w14:paraId="6C969257" w14:textId="245F7667" w:rsidR="00620FDF" w:rsidRPr="00506B07" w:rsidRDefault="00620FDF" w:rsidP="00515268">
            <w:pPr>
              <w:jc w:val="center"/>
              <w:rPr>
                <w:rFonts w:ascii="Palatino Linotype" w:hAnsi="Palatino Linotype"/>
                <w:sz w:val="24"/>
                <w:szCs w:val="24"/>
              </w:rPr>
            </w:pPr>
            <w:r>
              <w:rPr>
                <w:rFonts w:ascii="Palatino Linotype" w:hAnsi="Palatino Linotype"/>
                <w:b/>
                <w:sz w:val="24"/>
                <w:szCs w:val="24"/>
              </w:rPr>
              <w:t>(Rúbrica)</w:t>
            </w:r>
          </w:p>
        </w:tc>
      </w:tr>
    </w:tbl>
    <w:p w14:paraId="13E4327C" w14:textId="4A200F5E" w:rsidR="00FC21AA" w:rsidRDefault="00FC21AA" w:rsidP="003A5148">
      <w:pPr>
        <w:tabs>
          <w:tab w:val="left" w:pos="1870"/>
        </w:tabs>
        <w:spacing w:before="240" w:after="240" w:line="360" w:lineRule="auto"/>
      </w:pPr>
    </w:p>
    <w:sectPr w:rsidR="00FC21AA" w:rsidSect="00530B6C">
      <w:headerReference w:type="default" r:id="rId8"/>
      <w:footerReference w:type="default" r:id="rId9"/>
      <w:pgSz w:w="12240" w:h="15840"/>
      <w:pgMar w:top="1701" w:right="1134" w:bottom="22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142D2" w14:textId="77777777" w:rsidR="003C3A25" w:rsidRDefault="003C3A25" w:rsidP="00C80F8C">
      <w:r>
        <w:separator/>
      </w:r>
    </w:p>
  </w:endnote>
  <w:endnote w:type="continuationSeparator" w:id="0">
    <w:p w14:paraId="51A0F4D0" w14:textId="77777777" w:rsidR="003C3A25" w:rsidRDefault="003C3A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58412859"/>
      <w:docPartObj>
        <w:docPartGallery w:val="Page Numbers (Bottom of Page)"/>
        <w:docPartUnique/>
      </w:docPartObj>
    </w:sdtPr>
    <w:sdtEndPr/>
    <w:sdtContent>
      <w:sdt>
        <w:sdtPr>
          <w:rPr>
            <w:rFonts w:ascii="Palatino Linotype" w:hAnsi="Palatino Linotype"/>
            <w:sz w:val="20"/>
            <w:szCs w:val="20"/>
          </w:rPr>
          <w:id w:val="-1769616900"/>
          <w:docPartObj>
            <w:docPartGallery w:val="Page Numbers (Top of Page)"/>
            <w:docPartUnique/>
          </w:docPartObj>
        </w:sdtPr>
        <w:sdtEndPr/>
        <w:sdtContent>
          <w:p w14:paraId="6C83CB24" w14:textId="782C5DDA" w:rsidR="003A5148" w:rsidRPr="003A5148" w:rsidRDefault="003A5148" w:rsidP="003A5148">
            <w:pPr>
              <w:pStyle w:val="Piedepgina"/>
              <w:jc w:val="right"/>
              <w:rPr>
                <w:rFonts w:ascii="Palatino Linotype" w:hAnsi="Palatino Linotype"/>
                <w:sz w:val="20"/>
                <w:szCs w:val="20"/>
              </w:rPr>
            </w:pPr>
            <w:r w:rsidRPr="003A5148">
              <w:rPr>
                <w:rFonts w:ascii="Palatino Linotype" w:hAnsi="Palatino Linotype"/>
                <w:sz w:val="20"/>
                <w:szCs w:val="20"/>
                <w:lang w:val="es-ES"/>
              </w:rPr>
              <w:t xml:space="preserve">Página </w:t>
            </w:r>
            <w:r w:rsidRPr="003A5148">
              <w:rPr>
                <w:rFonts w:ascii="Palatino Linotype" w:hAnsi="Palatino Linotype"/>
                <w:b/>
                <w:bCs/>
                <w:sz w:val="20"/>
                <w:szCs w:val="20"/>
              </w:rPr>
              <w:fldChar w:fldCharType="begin"/>
            </w:r>
            <w:r w:rsidRPr="003A5148">
              <w:rPr>
                <w:rFonts w:ascii="Palatino Linotype" w:hAnsi="Palatino Linotype"/>
                <w:b/>
                <w:bCs/>
                <w:sz w:val="20"/>
                <w:szCs w:val="20"/>
              </w:rPr>
              <w:instrText>PAGE</w:instrText>
            </w:r>
            <w:r w:rsidRPr="003A5148">
              <w:rPr>
                <w:rFonts w:ascii="Palatino Linotype" w:hAnsi="Palatino Linotype"/>
                <w:b/>
                <w:bCs/>
                <w:sz w:val="20"/>
                <w:szCs w:val="20"/>
              </w:rPr>
              <w:fldChar w:fldCharType="separate"/>
            </w:r>
            <w:r w:rsidR="00513884">
              <w:rPr>
                <w:rFonts w:ascii="Palatino Linotype" w:hAnsi="Palatino Linotype"/>
                <w:b/>
                <w:bCs/>
                <w:noProof/>
                <w:sz w:val="20"/>
                <w:szCs w:val="20"/>
              </w:rPr>
              <w:t>2</w:t>
            </w:r>
            <w:r w:rsidRPr="003A5148">
              <w:rPr>
                <w:rFonts w:ascii="Palatino Linotype" w:hAnsi="Palatino Linotype"/>
                <w:b/>
                <w:bCs/>
                <w:sz w:val="20"/>
                <w:szCs w:val="20"/>
              </w:rPr>
              <w:fldChar w:fldCharType="end"/>
            </w:r>
            <w:r w:rsidRPr="003A5148">
              <w:rPr>
                <w:rFonts w:ascii="Palatino Linotype" w:hAnsi="Palatino Linotype"/>
                <w:sz w:val="20"/>
                <w:szCs w:val="20"/>
                <w:lang w:val="es-ES"/>
              </w:rPr>
              <w:t xml:space="preserve"> de </w:t>
            </w:r>
            <w:r w:rsidRPr="003A5148">
              <w:rPr>
                <w:rFonts w:ascii="Palatino Linotype" w:hAnsi="Palatino Linotype"/>
                <w:b/>
                <w:bCs/>
                <w:sz w:val="20"/>
                <w:szCs w:val="20"/>
              </w:rPr>
              <w:fldChar w:fldCharType="begin"/>
            </w:r>
            <w:r w:rsidRPr="003A5148">
              <w:rPr>
                <w:rFonts w:ascii="Palatino Linotype" w:hAnsi="Palatino Linotype"/>
                <w:b/>
                <w:bCs/>
                <w:sz w:val="20"/>
                <w:szCs w:val="20"/>
              </w:rPr>
              <w:instrText>NUMPAGES</w:instrText>
            </w:r>
            <w:r w:rsidRPr="003A5148">
              <w:rPr>
                <w:rFonts w:ascii="Palatino Linotype" w:hAnsi="Palatino Linotype"/>
                <w:b/>
                <w:bCs/>
                <w:sz w:val="20"/>
                <w:szCs w:val="20"/>
              </w:rPr>
              <w:fldChar w:fldCharType="separate"/>
            </w:r>
            <w:r w:rsidR="00513884">
              <w:rPr>
                <w:rFonts w:ascii="Palatino Linotype" w:hAnsi="Palatino Linotype"/>
                <w:b/>
                <w:bCs/>
                <w:noProof/>
                <w:sz w:val="20"/>
                <w:szCs w:val="20"/>
              </w:rPr>
              <w:t>6</w:t>
            </w:r>
            <w:r w:rsidRPr="003A5148">
              <w:rPr>
                <w:rFonts w:ascii="Palatino Linotype" w:hAnsi="Palatino Linotype"/>
                <w:b/>
                <w:bCs/>
                <w:sz w:val="20"/>
                <w:szCs w:val="20"/>
              </w:rPr>
              <w:fldChar w:fldCharType="end"/>
            </w:r>
          </w:p>
        </w:sdtContent>
      </w:sdt>
    </w:sdtContent>
  </w:sdt>
  <w:p w14:paraId="59CACCDA" w14:textId="5CE27EEE" w:rsidR="003A5148" w:rsidRDefault="003A5148">
    <w:pPr>
      <w:pStyle w:val="Piedepgina"/>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1218" w14:textId="77777777" w:rsidR="003C3A25" w:rsidRDefault="003C3A25" w:rsidP="00C80F8C">
      <w:r>
        <w:separator/>
      </w:r>
    </w:p>
  </w:footnote>
  <w:footnote w:type="continuationSeparator" w:id="0">
    <w:p w14:paraId="4013A125" w14:textId="77777777" w:rsidR="003C3A25" w:rsidRDefault="003C3A25" w:rsidP="00C80F8C">
      <w:r>
        <w:continuationSeparator/>
      </w:r>
    </w:p>
  </w:footnote>
  <w:footnote w:id="1">
    <w:p w14:paraId="681AD229" w14:textId="77777777" w:rsidR="00F90894" w:rsidRPr="003A5148" w:rsidRDefault="00F90894" w:rsidP="00F90894">
      <w:pPr>
        <w:pStyle w:val="Textonotapie"/>
        <w:jc w:val="both"/>
        <w:rPr>
          <w:rFonts w:ascii="Palatino Linotype" w:hAnsi="Palatino Linotype"/>
          <w:i/>
          <w:sz w:val="18"/>
          <w:szCs w:val="18"/>
        </w:rPr>
      </w:pPr>
      <w:r>
        <w:rPr>
          <w:rStyle w:val="Refdenotaalpie"/>
        </w:rPr>
        <w:footnoteRef/>
      </w:r>
      <w:r>
        <w:t xml:space="preserve"> </w:t>
      </w:r>
      <w:r w:rsidRPr="003A5148">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 w:id="2">
    <w:p w14:paraId="7CA0E719" w14:textId="77777777" w:rsidR="001D3EA3" w:rsidRPr="003A5148" w:rsidRDefault="001D3EA3" w:rsidP="001D3EA3">
      <w:pPr>
        <w:pStyle w:val="Textonotapie"/>
        <w:jc w:val="both"/>
        <w:rPr>
          <w:rFonts w:ascii="Palatino Linotype" w:hAnsi="Palatino Linotype"/>
          <w:i/>
          <w:sz w:val="18"/>
          <w:szCs w:val="18"/>
        </w:rPr>
      </w:pPr>
      <w:r w:rsidRPr="003A5148">
        <w:rPr>
          <w:rStyle w:val="Refdenotaalpie"/>
          <w:sz w:val="18"/>
          <w:szCs w:val="18"/>
        </w:rPr>
        <w:footnoteRef/>
      </w:r>
      <w:r w:rsidRPr="003A5148">
        <w:rPr>
          <w:sz w:val="18"/>
          <w:szCs w:val="18"/>
        </w:rPr>
        <w:t xml:space="preserve"> </w:t>
      </w:r>
      <w:r w:rsidRPr="003A5148">
        <w:rPr>
          <w:rFonts w:ascii="Palatino Linotype" w:hAnsi="Palatino Linotype"/>
          <w:i/>
          <w:sz w:val="18"/>
          <w:szCs w:val="18"/>
        </w:rPr>
        <w:t xml:space="preserve">Cfr. </w:t>
      </w:r>
      <w:r w:rsidRPr="003A5148">
        <w:rPr>
          <w:rFonts w:ascii="Palatino Linotype" w:hAnsi="Palatino Linotype"/>
          <w:sz w:val="18"/>
          <w:szCs w:val="18"/>
        </w:rPr>
        <w:t xml:space="preserve">Tesis Aislada de la Décima Época P. II/2017 (10a.) </w:t>
      </w:r>
      <w:r w:rsidRPr="003A5148">
        <w:rPr>
          <w:rFonts w:ascii="Palatino Linotype" w:hAnsi="Palatino Linotype"/>
          <w:i/>
          <w:sz w:val="18"/>
          <w:szCs w:val="18"/>
        </w:rPr>
        <w:t>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5C7E868E" w:rsidR="00634485" w:rsidRPr="00A81140" w:rsidRDefault="003C3A25" w:rsidP="00C80F8C">
    <w:pPr>
      <w:pStyle w:val="Encabezado"/>
      <w:tabs>
        <w:tab w:val="clear" w:pos="4252"/>
        <w:tab w:val="clear" w:pos="8504"/>
        <w:tab w:val="left" w:pos="2326"/>
      </w:tabs>
      <w:rPr>
        <w:rFonts w:ascii="Palatino Linotype" w:hAnsi="Palatino Linotype"/>
      </w:rPr>
    </w:pPr>
    <w:sdt>
      <w:sdtPr>
        <w:rPr>
          <w:rFonts w:ascii="Palatino Linotype" w:hAnsi="Palatino Linotype"/>
        </w:rPr>
        <w:id w:val="-1801365915"/>
        <w:docPartObj>
          <w:docPartGallery w:val="Watermarks"/>
          <w:docPartUnique/>
        </w:docPartObj>
      </w:sdtPr>
      <w:sdtEndPr/>
      <w:sdtContent>
        <w:r>
          <w:rPr>
            <w:rFonts w:ascii="Palatino Linotype" w:hAnsi="Palatino Linotype"/>
          </w:rPr>
          <w:pict w14:anchorId="24FF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578.85pt;height:124pt;rotation:315;z-index:-25165824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B53290">
      <w:rPr>
        <w:rFonts w:ascii="Palatino Linotype" w:hAnsi="Palatino Linotype"/>
        <w:noProof/>
        <w:lang w:val="es-MX" w:eastAsia="es-MX"/>
      </w:rPr>
      <w:drawing>
        <wp:anchor distT="0" distB="0" distL="114300" distR="114300" simplePos="0" relativeHeight="251657216"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BC213F2" w14:textId="3A79E98E" w:rsidR="00F42A73" w:rsidRPr="00C51F7E" w:rsidRDefault="001928EC" w:rsidP="00F42A73">
    <w:pPr>
      <w:pStyle w:val="Encabezado"/>
      <w:jc w:val="right"/>
      <w:rPr>
        <w:rFonts w:ascii="Palatino Linotype" w:hAnsi="Palatino Linotype"/>
      </w:rPr>
    </w:pPr>
    <w:r>
      <w:rPr>
        <w:rFonts w:ascii="Palatino Linotype" w:hAnsi="Palatino Linotype"/>
      </w:rPr>
      <w:t>VOTO</w:t>
    </w:r>
    <w:r w:rsidR="00F42A73" w:rsidRPr="00885E74">
      <w:rPr>
        <w:rFonts w:ascii="Palatino Linotype" w:hAnsi="Palatino Linotype"/>
      </w:rPr>
      <w:t xml:space="preserve"> </w:t>
    </w:r>
    <w:r w:rsidR="00F42A73" w:rsidRPr="00C51F7E">
      <w:rPr>
        <w:rFonts w:ascii="Palatino Linotype" w:hAnsi="Palatino Linotype"/>
      </w:rPr>
      <w:t xml:space="preserve">PARTICULAR </w:t>
    </w:r>
  </w:p>
  <w:p w14:paraId="2F83D6AC" w14:textId="6788F1AE" w:rsidR="00F42A73" w:rsidRDefault="00F42A73" w:rsidP="00F42A73">
    <w:pPr>
      <w:pStyle w:val="Encabezado"/>
      <w:jc w:val="right"/>
      <w:rPr>
        <w:rFonts w:ascii="Palatino Linotype" w:hAnsi="Palatino Linotype"/>
      </w:rPr>
    </w:pPr>
    <w:r w:rsidRPr="00C51F7E">
      <w:rPr>
        <w:rFonts w:ascii="Palatino Linotype" w:hAnsi="Palatino Linotype"/>
      </w:rPr>
      <w:t xml:space="preserve">RECURSO DE REVISIÓN </w:t>
    </w:r>
    <w:r w:rsidR="000103F8">
      <w:rPr>
        <w:rFonts w:ascii="Palatino Linotype" w:hAnsi="Palatino Linotype" w:cs="Arial"/>
        <w:bCs/>
        <w:lang w:eastAsia="es-MX"/>
      </w:rPr>
      <w:t>0</w:t>
    </w:r>
    <w:r w:rsidR="009D3952">
      <w:rPr>
        <w:rFonts w:ascii="Palatino Linotype" w:hAnsi="Palatino Linotype" w:cs="Arial"/>
        <w:bCs/>
        <w:lang w:eastAsia="es-MX"/>
      </w:rPr>
      <w:t>0632</w:t>
    </w:r>
    <w:r w:rsidR="00790D01">
      <w:rPr>
        <w:rFonts w:ascii="Palatino Linotype" w:hAnsi="Palatino Linotype" w:cs="Arial"/>
        <w:bCs/>
        <w:lang w:eastAsia="es-MX"/>
      </w:rPr>
      <w:t>/INFOEM/IP/RR/201</w:t>
    </w:r>
    <w:r w:rsidR="009D3952">
      <w:rPr>
        <w:rFonts w:ascii="Palatino Linotype" w:hAnsi="Palatino Linotype" w:cs="Arial"/>
        <w:bCs/>
        <w:lang w:eastAsia="es-MX"/>
      </w:rPr>
      <w:t>9</w:t>
    </w:r>
    <w:r w:rsidR="00910E6C">
      <w:rPr>
        <w:rFonts w:ascii="Palatino Linotype" w:hAnsi="Palatino Linotype" w:cs="Arial"/>
        <w:bCs/>
        <w:lang w:eastAsia="es-MX"/>
      </w:rPr>
      <w:t xml:space="preserve"> </w:t>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5" w15:restartNumberingAfterBreak="0">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65C7"/>
    <w:rsid w:val="00016EE5"/>
    <w:rsid w:val="00020108"/>
    <w:rsid w:val="000244D4"/>
    <w:rsid w:val="000252A3"/>
    <w:rsid w:val="00027543"/>
    <w:rsid w:val="00030027"/>
    <w:rsid w:val="000314C4"/>
    <w:rsid w:val="00041820"/>
    <w:rsid w:val="0004288C"/>
    <w:rsid w:val="000451B0"/>
    <w:rsid w:val="00046740"/>
    <w:rsid w:val="000508AA"/>
    <w:rsid w:val="00053278"/>
    <w:rsid w:val="00053B84"/>
    <w:rsid w:val="000838C6"/>
    <w:rsid w:val="000840BE"/>
    <w:rsid w:val="0008477C"/>
    <w:rsid w:val="0008542A"/>
    <w:rsid w:val="000868F5"/>
    <w:rsid w:val="000879B4"/>
    <w:rsid w:val="000B0067"/>
    <w:rsid w:val="000B1E6A"/>
    <w:rsid w:val="000B36E9"/>
    <w:rsid w:val="000B3FFD"/>
    <w:rsid w:val="000B5C40"/>
    <w:rsid w:val="000C4453"/>
    <w:rsid w:val="000D626E"/>
    <w:rsid w:val="000D710B"/>
    <w:rsid w:val="000E76A6"/>
    <w:rsid w:val="0010019B"/>
    <w:rsid w:val="00105DA8"/>
    <w:rsid w:val="00110A70"/>
    <w:rsid w:val="0011251D"/>
    <w:rsid w:val="0012436A"/>
    <w:rsid w:val="001352AD"/>
    <w:rsid w:val="00143E74"/>
    <w:rsid w:val="00145629"/>
    <w:rsid w:val="00156361"/>
    <w:rsid w:val="00162EE0"/>
    <w:rsid w:val="001665B5"/>
    <w:rsid w:val="001706D8"/>
    <w:rsid w:val="00174717"/>
    <w:rsid w:val="00181E7B"/>
    <w:rsid w:val="00185575"/>
    <w:rsid w:val="001928EC"/>
    <w:rsid w:val="001B3177"/>
    <w:rsid w:val="001C2318"/>
    <w:rsid w:val="001C2489"/>
    <w:rsid w:val="001C62FB"/>
    <w:rsid w:val="001D2872"/>
    <w:rsid w:val="001D3EA3"/>
    <w:rsid w:val="001D5AEB"/>
    <w:rsid w:val="001D5D6B"/>
    <w:rsid w:val="001E6F45"/>
    <w:rsid w:val="001F5CA0"/>
    <w:rsid w:val="00206D85"/>
    <w:rsid w:val="002119E7"/>
    <w:rsid w:val="00214282"/>
    <w:rsid w:val="00214AA1"/>
    <w:rsid w:val="00222980"/>
    <w:rsid w:val="00223A0E"/>
    <w:rsid w:val="00224532"/>
    <w:rsid w:val="00224CE2"/>
    <w:rsid w:val="00225AF8"/>
    <w:rsid w:val="00230C89"/>
    <w:rsid w:val="00242224"/>
    <w:rsid w:val="00246378"/>
    <w:rsid w:val="0025223E"/>
    <w:rsid w:val="00264F22"/>
    <w:rsid w:val="0026560C"/>
    <w:rsid w:val="00267C5C"/>
    <w:rsid w:val="002731A7"/>
    <w:rsid w:val="00297B74"/>
    <w:rsid w:val="002A1C5F"/>
    <w:rsid w:val="002A2F7E"/>
    <w:rsid w:val="002A3DF8"/>
    <w:rsid w:val="002A5E42"/>
    <w:rsid w:val="002A7E27"/>
    <w:rsid w:val="002B6F74"/>
    <w:rsid w:val="002C7665"/>
    <w:rsid w:val="002D1549"/>
    <w:rsid w:val="002D56A8"/>
    <w:rsid w:val="002E0611"/>
    <w:rsid w:val="002E0EDE"/>
    <w:rsid w:val="002E5289"/>
    <w:rsid w:val="002F077A"/>
    <w:rsid w:val="002F1536"/>
    <w:rsid w:val="002F4FE5"/>
    <w:rsid w:val="002F52FC"/>
    <w:rsid w:val="002F627F"/>
    <w:rsid w:val="003023B7"/>
    <w:rsid w:val="00310936"/>
    <w:rsid w:val="0031287C"/>
    <w:rsid w:val="0031370C"/>
    <w:rsid w:val="00320CEE"/>
    <w:rsid w:val="00322791"/>
    <w:rsid w:val="003327E5"/>
    <w:rsid w:val="00336B3B"/>
    <w:rsid w:val="0034792A"/>
    <w:rsid w:val="0035024A"/>
    <w:rsid w:val="003520D1"/>
    <w:rsid w:val="00360A9E"/>
    <w:rsid w:val="0036344C"/>
    <w:rsid w:val="00365E6D"/>
    <w:rsid w:val="0036720F"/>
    <w:rsid w:val="003929C8"/>
    <w:rsid w:val="00393DFF"/>
    <w:rsid w:val="00397F22"/>
    <w:rsid w:val="003A5148"/>
    <w:rsid w:val="003A5932"/>
    <w:rsid w:val="003A6550"/>
    <w:rsid w:val="003B04D0"/>
    <w:rsid w:val="003B3487"/>
    <w:rsid w:val="003B7B45"/>
    <w:rsid w:val="003C1A31"/>
    <w:rsid w:val="003C25BA"/>
    <w:rsid w:val="003C3A25"/>
    <w:rsid w:val="003D3640"/>
    <w:rsid w:val="003E15BB"/>
    <w:rsid w:val="003E2138"/>
    <w:rsid w:val="003E2904"/>
    <w:rsid w:val="003E3F1B"/>
    <w:rsid w:val="003F7550"/>
    <w:rsid w:val="00411BEF"/>
    <w:rsid w:val="004123E0"/>
    <w:rsid w:val="00413D4F"/>
    <w:rsid w:val="00415E47"/>
    <w:rsid w:val="00416752"/>
    <w:rsid w:val="00433DE7"/>
    <w:rsid w:val="00445E66"/>
    <w:rsid w:val="004461DC"/>
    <w:rsid w:val="00450C4A"/>
    <w:rsid w:val="0045210B"/>
    <w:rsid w:val="00457B04"/>
    <w:rsid w:val="004665B2"/>
    <w:rsid w:val="0047000B"/>
    <w:rsid w:val="004736EF"/>
    <w:rsid w:val="00474020"/>
    <w:rsid w:val="004938EB"/>
    <w:rsid w:val="004A2128"/>
    <w:rsid w:val="004B471B"/>
    <w:rsid w:val="004B5A88"/>
    <w:rsid w:val="004C287E"/>
    <w:rsid w:val="004C691F"/>
    <w:rsid w:val="004D03CE"/>
    <w:rsid w:val="004D0A26"/>
    <w:rsid w:val="004D12BC"/>
    <w:rsid w:val="004D7534"/>
    <w:rsid w:val="004E6229"/>
    <w:rsid w:val="004F25ED"/>
    <w:rsid w:val="004F313C"/>
    <w:rsid w:val="004F3EAB"/>
    <w:rsid w:val="004F4FC6"/>
    <w:rsid w:val="00506B07"/>
    <w:rsid w:val="00513884"/>
    <w:rsid w:val="00515268"/>
    <w:rsid w:val="0051689B"/>
    <w:rsid w:val="00520D75"/>
    <w:rsid w:val="00530B6C"/>
    <w:rsid w:val="00534235"/>
    <w:rsid w:val="0053480A"/>
    <w:rsid w:val="00536192"/>
    <w:rsid w:val="00543BFC"/>
    <w:rsid w:val="00553412"/>
    <w:rsid w:val="00553A4E"/>
    <w:rsid w:val="00553E8C"/>
    <w:rsid w:val="0055728A"/>
    <w:rsid w:val="00560767"/>
    <w:rsid w:val="00561E48"/>
    <w:rsid w:val="00562D01"/>
    <w:rsid w:val="00572399"/>
    <w:rsid w:val="005736C6"/>
    <w:rsid w:val="0057477C"/>
    <w:rsid w:val="00575235"/>
    <w:rsid w:val="00587E2D"/>
    <w:rsid w:val="005944F4"/>
    <w:rsid w:val="005A04EF"/>
    <w:rsid w:val="005A1ADF"/>
    <w:rsid w:val="005C3D2F"/>
    <w:rsid w:val="005D1946"/>
    <w:rsid w:val="005D5B54"/>
    <w:rsid w:val="005E0676"/>
    <w:rsid w:val="005E1100"/>
    <w:rsid w:val="005E59BE"/>
    <w:rsid w:val="005F1990"/>
    <w:rsid w:val="005F2A59"/>
    <w:rsid w:val="005F58B1"/>
    <w:rsid w:val="006044E0"/>
    <w:rsid w:val="00616F7F"/>
    <w:rsid w:val="00620FDF"/>
    <w:rsid w:val="006218DC"/>
    <w:rsid w:val="006232F2"/>
    <w:rsid w:val="00625866"/>
    <w:rsid w:val="0063126D"/>
    <w:rsid w:val="00632F12"/>
    <w:rsid w:val="00634485"/>
    <w:rsid w:val="00635601"/>
    <w:rsid w:val="00643A81"/>
    <w:rsid w:val="00650807"/>
    <w:rsid w:val="00650AC9"/>
    <w:rsid w:val="0068304C"/>
    <w:rsid w:val="006841CD"/>
    <w:rsid w:val="00690859"/>
    <w:rsid w:val="00692923"/>
    <w:rsid w:val="006A14F0"/>
    <w:rsid w:val="006A4679"/>
    <w:rsid w:val="006A7B4E"/>
    <w:rsid w:val="006D47DB"/>
    <w:rsid w:val="006D6CA1"/>
    <w:rsid w:val="006D78EC"/>
    <w:rsid w:val="006E55BA"/>
    <w:rsid w:val="006E6389"/>
    <w:rsid w:val="006E7597"/>
    <w:rsid w:val="006F2FF6"/>
    <w:rsid w:val="006F30F8"/>
    <w:rsid w:val="006F35AF"/>
    <w:rsid w:val="006F4B28"/>
    <w:rsid w:val="00700C49"/>
    <w:rsid w:val="0070535D"/>
    <w:rsid w:val="00706F63"/>
    <w:rsid w:val="00710C9E"/>
    <w:rsid w:val="00717CA7"/>
    <w:rsid w:val="00731928"/>
    <w:rsid w:val="007337EF"/>
    <w:rsid w:val="00736C06"/>
    <w:rsid w:val="00737D20"/>
    <w:rsid w:val="00740B90"/>
    <w:rsid w:val="00753F2E"/>
    <w:rsid w:val="007614FF"/>
    <w:rsid w:val="007627EA"/>
    <w:rsid w:val="00766347"/>
    <w:rsid w:val="00766E4A"/>
    <w:rsid w:val="00772515"/>
    <w:rsid w:val="00783622"/>
    <w:rsid w:val="007867E1"/>
    <w:rsid w:val="00790D01"/>
    <w:rsid w:val="00790FC4"/>
    <w:rsid w:val="007A3E6E"/>
    <w:rsid w:val="007A57AC"/>
    <w:rsid w:val="007A7C9A"/>
    <w:rsid w:val="007C2AA3"/>
    <w:rsid w:val="007D690D"/>
    <w:rsid w:val="007E4484"/>
    <w:rsid w:val="007E7FD2"/>
    <w:rsid w:val="007F288E"/>
    <w:rsid w:val="007F3153"/>
    <w:rsid w:val="008000D4"/>
    <w:rsid w:val="00803006"/>
    <w:rsid w:val="008071E6"/>
    <w:rsid w:val="00811C92"/>
    <w:rsid w:val="008127EE"/>
    <w:rsid w:val="00813388"/>
    <w:rsid w:val="00814254"/>
    <w:rsid w:val="0081574C"/>
    <w:rsid w:val="0081611A"/>
    <w:rsid w:val="0082281C"/>
    <w:rsid w:val="008273EF"/>
    <w:rsid w:val="00831DEC"/>
    <w:rsid w:val="00834C48"/>
    <w:rsid w:val="00845DA4"/>
    <w:rsid w:val="00847C65"/>
    <w:rsid w:val="0085746D"/>
    <w:rsid w:val="00863766"/>
    <w:rsid w:val="0088262E"/>
    <w:rsid w:val="008844F3"/>
    <w:rsid w:val="00885E74"/>
    <w:rsid w:val="008912DD"/>
    <w:rsid w:val="00892AFC"/>
    <w:rsid w:val="008A7301"/>
    <w:rsid w:val="008A7B64"/>
    <w:rsid w:val="008C0B6B"/>
    <w:rsid w:val="008C35FC"/>
    <w:rsid w:val="008C7C8C"/>
    <w:rsid w:val="008C7D47"/>
    <w:rsid w:val="008D1526"/>
    <w:rsid w:val="008D4FFD"/>
    <w:rsid w:val="008F27DC"/>
    <w:rsid w:val="008F54A9"/>
    <w:rsid w:val="008F6F33"/>
    <w:rsid w:val="0090405F"/>
    <w:rsid w:val="00905068"/>
    <w:rsid w:val="00910E6C"/>
    <w:rsid w:val="009239CD"/>
    <w:rsid w:val="00934418"/>
    <w:rsid w:val="00945179"/>
    <w:rsid w:val="00947E42"/>
    <w:rsid w:val="00957397"/>
    <w:rsid w:val="00972907"/>
    <w:rsid w:val="00975312"/>
    <w:rsid w:val="00975EB9"/>
    <w:rsid w:val="00992D8F"/>
    <w:rsid w:val="009A0DB8"/>
    <w:rsid w:val="009A3508"/>
    <w:rsid w:val="009C1772"/>
    <w:rsid w:val="009C5D86"/>
    <w:rsid w:val="009D0C13"/>
    <w:rsid w:val="009D3952"/>
    <w:rsid w:val="009D3E62"/>
    <w:rsid w:val="009D4D96"/>
    <w:rsid w:val="009D60BD"/>
    <w:rsid w:val="009E780D"/>
    <w:rsid w:val="009F3BDC"/>
    <w:rsid w:val="009F4AC0"/>
    <w:rsid w:val="009F5290"/>
    <w:rsid w:val="00A02BDE"/>
    <w:rsid w:val="00A05C96"/>
    <w:rsid w:val="00A12C96"/>
    <w:rsid w:val="00A14869"/>
    <w:rsid w:val="00A1648C"/>
    <w:rsid w:val="00A166B1"/>
    <w:rsid w:val="00A323F3"/>
    <w:rsid w:val="00A33BE6"/>
    <w:rsid w:val="00A35F15"/>
    <w:rsid w:val="00A46E86"/>
    <w:rsid w:val="00A47380"/>
    <w:rsid w:val="00A47E54"/>
    <w:rsid w:val="00A47EAB"/>
    <w:rsid w:val="00A55065"/>
    <w:rsid w:val="00A648BC"/>
    <w:rsid w:val="00A71D9C"/>
    <w:rsid w:val="00A81140"/>
    <w:rsid w:val="00A829F4"/>
    <w:rsid w:val="00A83C13"/>
    <w:rsid w:val="00A94689"/>
    <w:rsid w:val="00A95B5D"/>
    <w:rsid w:val="00AA3B03"/>
    <w:rsid w:val="00AA4D18"/>
    <w:rsid w:val="00AA62EE"/>
    <w:rsid w:val="00AB54E9"/>
    <w:rsid w:val="00AB586E"/>
    <w:rsid w:val="00AC0E82"/>
    <w:rsid w:val="00AC5642"/>
    <w:rsid w:val="00AD65F6"/>
    <w:rsid w:val="00AD7D29"/>
    <w:rsid w:val="00AE1AFE"/>
    <w:rsid w:val="00AE3C93"/>
    <w:rsid w:val="00AE63C8"/>
    <w:rsid w:val="00B00154"/>
    <w:rsid w:val="00B02CB0"/>
    <w:rsid w:val="00B03BF8"/>
    <w:rsid w:val="00B337A5"/>
    <w:rsid w:val="00B352B3"/>
    <w:rsid w:val="00B53290"/>
    <w:rsid w:val="00B5380B"/>
    <w:rsid w:val="00B56FA8"/>
    <w:rsid w:val="00B62D27"/>
    <w:rsid w:val="00B72F71"/>
    <w:rsid w:val="00B73A65"/>
    <w:rsid w:val="00B74248"/>
    <w:rsid w:val="00B94089"/>
    <w:rsid w:val="00B94599"/>
    <w:rsid w:val="00BA0EE2"/>
    <w:rsid w:val="00BA0F2E"/>
    <w:rsid w:val="00BA1166"/>
    <w:rsid w:val="00BA55D5"/>
    <w:rsid w:val="00BB0D58"/>
    <w:rsid w:val="00BB6390"/>
    <w:rsid w:val="00BB7295"/>
    <w:rsid w:val="00BC0E85"/>
    <w:rsid w:val="00BC424B"/>
    <w:rsid w:val="00BD7483"/>
    <w:rsid w:val="00BE3051"/>
    <w:rsid w:val="00BE4CFB"/>
    <w:rsid w:val="00BF033B"/>
    <w:rsid w:val="00BF271C"/>
    <w:rsid w:val="00BF4F5B"/>
    <w:rsid w:val="00C06EE2"/>
    <w:rsid w:val="00C22B6E"/>
    <w:rsid w:val="00C30CA2"/>
    <w:rsid w:val="00C32AD6"/>
    <w:rsid w:val="00C47343"/>
    <w:rsid w:val="00C52711"/>
    <w:rsid w:val="00C53659"/>
    <w:rsid w:val="00C55313"/>
    <w:rsid w:val="00C558CB"/>
    <w:rsid w:val="00C650FE"/>
    <w:rsid w:val="00C66660"/>
    <w:rsid w:val="00C75B24"/>
    <w:rsid w:val="00C80F8C"/>
    <w:rsid w:val="00C83E0B"/>
    <w:rsid w:val="00C858CB"/>
    <w:rsid w:val="00C85AB0"/>
    <w:rsid w:val="00C9645E"/>
    <w:rsid w:val="00CA1CE5"/>
    <w:rsid w:val="00CA79EA"/>
    <w:rsid w:val="00CC4FED"/>
    <w:rsid w:val="00CF2DB3"/>
    <w:rsid w:val="00CF30E8"/>
    <w:rsid w:val="00D047E8"/>
    <w:rsid w:val="00D10859"/>
    <w:rsid w:val="00D21840"/>
    <w:rsid w:val="00D243C7"/>
    <w:rsid w:val="00D328BC"/>
    <w:rsid w:val="00D32EC7"/>
    <w:rsid w:val="00D33211"/>
    <w:rsid w:val="00D40599"/>
    <w:rsid w:val="00D412D8"/>
    <w:rsid w:val="00D528E5"/>
    <w:rsid w:val="00D52A18"/>
    <w:rsid w:val="00D57D0F"/>
    <w:rsid w:val="00D57FDF"/>
    <w:rsid w:val="00D64005"/>
    <w:rsid w:val="00D64B9A"/>
    <w:rsid w:val="00D651C7"/>
    <w:rsid w:val="00D759DE"/>
    <w:rsid w:val="00D861D8"/>
    <w:rsid w:val="00D9156F"/>
    <w:rsid w:val="00D9787F"/>
    <w:rsid w:val="00DA10B4"/>
    <w:rsid w:val="00DA1C65"/>
    <w:rsid w:val="00DA2388"/>
    <w:rsid w:val="00DA33F5"/>
    <w:rsid w:val="00DB564C"/>
    <w:rsid w:val="00DB6E06"/>
    <w:rsid w:val="00DC3BDE"/>
    <w:rsid w:val="00DC4ECF"/>
    <w:rsid w:val="00DC59FF"/>
    <w:rsid w:val="00DD0855"/>
    <w:rsid w:val="00DD2B64"/>
    <w:rsid w:val="00DD3171"/>
    <w:rsid w:val="00DD6036"/>
    <w:rsid w:val="00DE4624"/>
    <w:rsid w:val="00DF525B"/>
    <w:rsid w:val="00DF5DDA"/>
    <w:rsid w:val="00DF6486"/>
    <w:rsid w:val="00E03270"/>
    <w:rsid w:val="00E063F3"/>
    <w:rsid w:val="00E15B50"/>
    <w:rsid w:val="00E21594"/>
    <w:rsid w:val="00E247EC"/>
    <w:rsid w:val="00E310E8"/>
    <w:rsid w:val="00E317A6"/>
    <w:rsid w:val="00E319E1"/>
    <w:rsid w:val="00E34777"/>
    <w:rsid w:val="00E36E10"/>
    <w:rsid w:val="00E438E8"/>
    <w:rsid w:val="00E6172F"/>
    <w:rsid w:val="00E63612"/>
    <w:rsid w:val="00E64759"/>
    <w:rsid w:val="00E679CB"/>
    <w:rsid w:val="00E7360F"/>
    <w:rsid w:val="00E80821"/>
    <w:rsid w:val="00EA1FE3"/>
    <w:rsid w:val="00EA3BC3"/>
    <w:rsid w:val="00EA558B"/>
    <w:rsid w:val="00EA73E4"/>
    <w:rsid w:val="00EB0254"/>
    <w:rsid w:val="00EB3186"/>
    <w:rsid w:val="00EB3659"/>
    <w:rsid w:val="00EB4F4F"/>
    <w:rsid w:val="00EC0343"/>
    <w:rsid w:val="00EC28FE"/>
    <w:rsid w:val="00EC3656"/>
    <w:rsid w:val="00EC473C"/>
    <w:rsid w:val="00EC7929"/>
    <w:rsid w:val="00ED1010"/>
    <w:rsid w:val="00ED51ED"/>
    <w:rsid w:val="00ED6338"/>
    <w:rsid w:val="00EE22C2"/>
    <w:rsid w:val="00EF008E"/>
    <w:rsid w:val="00EF2D47"/>
    <w:rsid w:val="00F109A8"/>
    <w:rsid w:val="00F10CF6"/>
    <w:rsid w:val="00F12C79"/>
    <w:rsid w:val="00F35CA3"/>
    <w:rsid w:val="00F3621D"/>
    <w:rsid w:val="00F40941"/>
    <w:rsid w:val="00F42A73"/>
    <w:rsid w:val="00F46492"/>
    <w:rsid w:val="00F55F16"/>
    <w:rsid w:val="00F55FE6"/>
    <w:rsid w:val="00F57F14"/>
    <w:rsid w:val="00F659A6"/>
    <w:rsid w:val="00F65F02"/>
    <w:rsid w:val="00F6770E"/>
    <w:rsid w:val="00F90894"/>
    <w:rsid w:val="00F91891"/>
    <w:rsid w:val="00F91978"/>
    <w:rsid w:val="00F93BED"/>
    <w:rsid w:val="00FB48D6"/>
    <w:rsid w:val="00FC21AA"/>
    <w:rsid w:val="00FC72F9"/>
    <w:rsid w:val="00FD2C45"/>
    <w:rsid w:val="00FE527A"/>
    <w:rsid w:val="00FE7356"/>
    <w:rsid w:val="00FE77D5"/>
    <w:rsid w:val="00FF0612"/>
    <w:rsid w:val="00FF2050"/>
    <w:rsid w:val="00FF2135"/>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2A73"/>
    <w:rPr>
      <w:vertAlign w:val="superscript"/>
    </w:rPr>
  </w:style>
  <w:style w:type="paragraph" w:styleId="Prrafodelista">
    <w:name w:val="List Paragraph"/>
    <w:basedOn w:val="Normal"/>
    <w:link w:val="PrrafodelistaCar"/>
    <w:uiPriority w:val="34"/>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4461DC"/>
    <w:rPr>
      <w:color w:val="0000FF" w:themeColor="hyperlink"/>
      <w:u w:val="single"/>
    </w:rPr>
  </w:style>
  <w:style w:type="character" w:customStyle="1" w:styleId="PrrafodelistaCar">
    <w:name w:val="Párrafo de lista Car"/>
    <w:link w:val="Prrafodelista"/>
    <w:uiPriority w:val="34"/>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 w:type="paragraph" w:styleId="Sinespaciado">
    <w:name w:val="No Spacing"/>
    <w:aliases w:val="Francesa"/>
    <w:link w:val="SinespaciadoCar"/>
    <w:uiPriority w:val="1"/>
    <w:qFormat/>
    <w:rsid w:val="00790D01"/>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790D01"/>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9FAA2-E4E3-4A98-925E-E9BCBEDE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1168</Words>
  <Characters>6427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2019-05-07T15:30:00Z</cp:lastPrinted>
  <dcterms:created xsi:type="dcterms:W3CDTF">2017-09-08T20:17:00Z</dcterms:created>
  <dcterms:modified xsi:type="dcterms:W3CDTF">2019-08-08T22:21:00Z</dcterms:modified>
</cp:coreProperties>
</file>